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7"/>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15</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506608</w:t>
      </w:r>
      <w:bookmarkStart w:id="8" w:name="_GoBack"/>
      <w:bookmarkEnd w:id="8"/>
      <w:r>
        <w:rPr>
          <w:b/>
          <w:sz w:val="24"/>
          <w:szCs w:val="24"/>
          <w:highlight w:val="none"/>
        </w:rPr>
        <w:t xml:space="preserve">                      </w:t>
      </w:r>
    </w:p>
    <w:bookmarkEnd w:id="0"/>
    <w:bookmarkEnd w:id="1"/>
    <w:p w14:paraId="5C25862B">
      <w:pPr>
        <w:pStyle w:val="7"/>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rFonts w:hint="default" w:ascii="Times New Roman" w:hAnsi="Times New Roman" w:eastAsia="宋体" w:cs="Times New Roman"/>
          <w:b/>
          <w:sz w:val="24"/>
          <w:szCs w:val="24"/>
          <w:lang w:eastAsia="zh-CN"/>
        </w:rPr>
        <w:t>Malta, MT, 19</w:t>
      </w:r>
      <w:r>
        <w:rPr>
          <w:rFonts w:hint="default" w:ascii="Times New Roman" w:hAnsi="Times New Roman" w:eastAsia="宋体" w:cs="Times New Roman"/>
          <w:b/>
          <w:sz w:val="24"/>
          <w:szCs w:val="24"/>
          <w:vertAlign w:val="superscript"/>
          <w:lang w:eastAsia="zh-CN"/>
        </w:rPr>
        <w:t>th</w:t>
      </w:r>
      <w:r>
        <w:rPr>
          <w:rFonts w:hint="default" w:ascii="Times New Roman" w:hAnsi="Times New Roman" w:eastAsia="宋体" w:cs="Times New Roman"/>
          <w:b/>
          <w:sz w:val="24"/>
          <w:szCs w:val="24"/>
          <w:lang w:eastAsia="zh-CN"/>
        </w:rPr>
        <w:t xml:space="preserve"> – 23</w:t>
      </w:r>
      <w:r>
        <w:rPr>
          <w:rFonts w:hint="default" w:ascii="Times New Roman" w:hAnsi="Times New Roman" w:eastAsia="宋体" w:cs="Times New Roman"/>
          <w:b/>
          <w:sz w:val="24"/>
          <w:szCs w:val="24"/>
          <w:vertAlign w:val="superscript"/>
          <w:lang w:eastAsia="zh-CN"/>
        </w:rPr>
        <w:t>rd</w:t>
      </w:r>
      <w:r>
        <w:rPr>
          <w:rFonts w:hint="default" w:ascii="Times New Roman" w:hAnsi="Times New Roman" w:eastAsia="宋体" w:cs="Times New Roman"/>
          <w:b/>
          <w:sz w:val="24"/>
          <w:szCs w:val="24"/>
          <w:lang w:eastAsia="zh-CN"/>
        </w:rPr>
        <w:t xml:space="preserve"> May</w:t>
      </w:r>
      <w:r>
        <w:rPr>
          <w:rFonts w:hint="default" w:ascii="Times New Roman" w:hAnsi="Times New Roman" w:cs="Times New Roman"/>
          <w:b/>
          <w:bCs/>
          <w:sz w:val="24"/>
          <w:highlight w:val="none"/>
        </w:rPr>
        <w:t>, 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22</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 xml:space="preserve">general aspects for study on AI/ML for NR air interface Phase 2 </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107</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S</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143C0340">
            <w:pPr>
              <w:numPr>
                <w:ilvl w:val="0"/>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3044E129">
            <w:pPr>
              <w:numPr>
                <w:ilvl w:val="1"/>
                <w:numId w:val="5"/>
              </w:numPr>
              <w:spacing w:after="0"/>
              <w:rPr>
                <w:rFonts w:hint="default" w:ascii="Times New Roman" w:hAnsi="Times New Roman" w:cs="Times New Roman"/>
                <w:bCs/>
                <w:sz w:val="20"/>
                <w:szCs w:val="20"/>
              </w:rPr>
            </w:pPr>
            <w:r>
              <w:rPr>
                <w:rFonts w:hint="eastAsia" w:ascii="Times New Roman" w:hAnsi="Times New Roman" w:cs="Times New Roman"/>
                <w:bCs/>
                <w:sz w:val="20"/>
                <w:szCs w:val="20"/>
                <w:lang w:val="en-US" w:eastAsia="zh-CN"/>
              </w:rPr>
              <w:t>F</w:t>
            </w:r>
            <w:r>
              <w:rPr>
                <w:rFonts w:hint="default" w:ascii="Times New Roman" w:hAnsi="Times New Roman" w:cs="Times New Roman"/>
                <w:bCs/>
                <w:sz w:val="20"/>
                <w:szCs w:val="20"/>
              </w:rPr>
              <w:t xml:space="preserve">urther analyse the various testing options for two-sided models, in collaboration with RAN1, and including at least: </w:t>
            </w:r>
          </w:p>
          <w:p w14:paraId="64978413">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2400150A">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562C29F2">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29FBE3E8">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669078F5">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3C34F381">
            <w:pPr>
              <w:numPr>
                <w:ilvl w:val="2"/>
                <w:numId w:val="5"/>
              </w:numPr>
              <w:overflowPunct/>
              <w:autoSpaceDE/>
              <w:autoSpaceDN/>
              <w:adjustRightInd/>
              <w:spacing w:after="0" w:line="259" w:lineRule="auto"/>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Post-deployment validation due to model change/drift</w:t>
            </w:r>
          </w:p>
          <w:p w14:paraId="4D6A9054">
            <w:pPr>
              <w:numPr>
                <w:ilvl w:val="1"/>
                <w:numId w:val="5"/>
              </w:numPr>
              <w:overflowPunct/>
              <w:autoSpaceDE/>
              <w:autoSpaceDN/>
              <w:adjustRightInd/>
              <w:spacing w:after="0" w:line="259" w:lineRule="auto"/>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RAN5 aspects related to testability and interoperability to be addressed on a request basis</w:t>
            </w: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[2].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p w14:paraId="4B0AFB94">
      <w:pPr>
        <w:rPr>
          <w:rFonts w:ascii="Times New Roman" w:hAnsi="Times New Roman"/>
          <w:i/>
          <w:sz w:val="20"/>
          <w:szCs w:val="20"/>
          <w:highlight w:val="cyan"/>
        </w:rPr>
      </w:pP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9A9D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E527C3">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1-1-1: How many </w:t>
            </w:r>
            <w:r>
              <w:rPr>
                <w:rFonts w:hint="default" w:ascii="Times New Roman" w:hAnsi="Times New Roman" w:cs="Times New Roman"/>
                <w:b/>
                <w:i/>
                <w:iCs/>
                <w:sz w:val="20"/>
                <w:szCs w:val="20"/>
                <w:u w:val="single"/>
                <w:lang w:eastAsia="ko-KR"/>
              </w:rPr>
              <w:t>requirement sets</w:t>
            </w:r>
            <w:r>
              <w:rPr>
                <w:rFonts w:hint="default" w:ascii="Times New Roman" w:hAnsi="Times New Roman" w:cs="Times New Roman"/>
                <w:b/>
                <w:sz w:val="20"/>
                <w:szCs w:val="20"/>
                <w:u w:val="single"/>
                <w:lang w:eastAsia="ko-KR"/>
              </w:rPr>
              <w:t xml:space="preserve"> to define</w:t>
            </w:r>
          </w:p>
          <w:p w14:paraId="3C3336B6">
            <w:pPr>
              <w:pStyle w:val="11"/>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13C6B9EA">
            <w:pPr>
              <w:pStyle w:val="11"/>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Define </w:t>
            </w:r>
            <w:r>
              <w:rPr>
                <w:rFonts w:hint="default" w:ascii="Times New Roman" w:hAnsi="Times New Roman" w:eastAsia="宋体" w:cs="Times New Roman"/>
                <w:i/>
                <w:iCs/>
                <w:sz w:val="20"/>
                <w:szCs w:val="20"/>
                <w:lang w:eastAsia="zh-CN"/>
              </w:rPr>
              <w:t>requirement sets</w:t>
            </w:r>
            <w:r>
              <w:rPr>
                <w:rFonts w:hint="default" w:ascii="Times New Roman" w:hAnsi="Times New Roman" w:eastAsia="宋体" w:cs="Times New Roman"/>
                <w:sz w:val="20"/>
                <w:szCs w:val="20"/>
                <w:lang w:eastAsia="zh-CN"/>
              </w:rPr>
              <w:t xml:space="preserve"> for at least every feature and applicable subset (Apple proposal 1/12, Nokia proposal 1)</w:t>
            </w:r>
          </w:p>
          <w:p w14:paraId="39C6C1E4">
            <w:pPr>
              <w:pStyle w:val="11"/>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1a: FFS how to relate subsets and applicable conditions depending on definition of applicable conditions (Apple proposal 2, 13)</w:t>
            </w:r>
          </w:p>
          <w:p w14:paraId="0ED86964">
            <w:pPr>
              <w:pStyle w:val="11"/>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1b: A minimum set of configurations/IDs shall be mandatory (Nokia proposal 2)</w:t>
            </w:r>
          </w:p>
          <w:p w14:paraId="746151E3">
            <w:pPr>
              <w:pStyle w:val="11"/>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1c: Do not define requirements with a change of associated ID during testing (Nokia proposal 3)</w:t>
            </w:r>
          </w:p>
          <w:p w14:paraId="37AB2EBB">
            <w:pPr>
              <w:pStyle w:val="11"/>
              <w:numPr>
                <w:ilvl w:val="2"/>
                <w:numId w:val="6"/>
              </w:numPr>
              <w:overflowPunct/>
              <w:autoSpaceDE/>
              <w:autoSpaceDN/>
              <w:adjustRightInd/>
              <w:spacing w:after="120"/>
              <w:ind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1d: Ensure consistency between applicable conditions signalling during training and inference (Apple proposal 10)</w:t>
            </w:r>
          </w:p>
          <w:p w14:paraId="5D95327A">
            <w:pPr>
              <w:pStyle w:val="11"/>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 xml:space="preserve">Option 2: At least a </w:t>
            </w:r>
            <w:r>
              <w:rPr>
                <w:rFonts w:hint="default" w:ascii="Times New Roman" w:hAnsi="Times New Roman" w:eastAsia="宋体" w:cs="Times New Roman"/>
                <w:i/>
                <w:iCs/>
                <w:sz w:val="20"/>
                <w:szCs w:val="20"/>
                <w:lang w:eastAsia="zh-CN"/>
              </w:rPr>
              <w:t>requirement set</w:t>
            </w:r>
            <w:r>
              <w:rPr>
                <w:rFonts w:hint="default" w:ascii="Times New Roman" w:hAnsi="Times New Roman" w:eastAsia="宋体" w:cs="Times New Roman"/>
                <w:sz w:val="20"/>
                <w:szCs w:val="20"/>
                <w:lang w:eastAsia="zh-CN"/>
              </w:rPr>
              <w:t xml:space="preserve"> per functionality, TBC for subsets depending on conclusions on granularity (CMCC proposal 3, CATT proposal 4)</w:t>
            </w:r>
          </w:p>
        </w:tc>
      </w:tr>
    </w:tbl>
    <w:p w14:paraId="02451B80">
      <w:pPr>
        <w:spacing w:after="180" w:line="240" w:lineRule="exact"/>
        <w:rPr>
          <w:rFonts w:hint="eastAsia" w:ascii="Times New Roman" w:hAnsi="Times New Roman" w:eastAsia="等线"/>
          <w:bCs/>
          <w:iCs/>
          <w:sz w:val="20"/>
          <w:szCs w:val="20"/>
          <w:lang w:val="en-US" w:eastAsia="zh-CN"/>
        </w:rPr>
      </w:pPr>
    </w:p>
    <w:p w14:paraId="3DBD610E">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discussion, for AI/ML functionality identification and functionality-based LCM of UE-side models and/or UE-part of two-sided models, functionality refers to an AI/ML-enabled Feature/FG enabled by configuration(s), where configuration(s) is(are) supported based on conditions indicated by UE capability. It can be seen that UE will report the supported configurations for a certain model/functionality. The scenarios and/or configurations for requirements/tests can be decided based on the supported configuration reported by UE. </w:t>
      </w:r>
    </w:p>
    <w:p w14:paraId="72A0A59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 LS on applicable functionality reporting for beam management UE-sided model is sent from RAN2 to RAN1. One of the questions is what is the granularity of functionality. For example, whether it is a use case (e.g. beam management), whether it is a sub-use case (e.g. beam management Case 1), or others. According to RAN1 agreements, the meaning and the granularity of “functionality” for Applicable functionalities, Activated functionalities and Supported functionalities may or may not be the same. The concept/terminology “functionality”of Supported functionalities may refer to UE-capability information/parameters i.e., Rel-19 AI/ML-enabled Features/FGs. The concept/terminology “ functionality”  of Applicable functionalities may refer to CSI-ReportConfig for inference configuration or a set of inference related parameters. The Activated functionalities may be enabled based on CSI framework. The definition is also alligned with RAN2 understanding. Supported functionalities refer to functionalities that UE can indicate by using UE capability information (via RRC/LPP signalling). Applicable functionalities refers to functionalities that the UE is ready to apply for inference. Activated functionalities refers to functionalities already enabled for performing inference.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A982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881A0D1">
            <w:pPr>
              <w:spacing w:after="180" w:line="240" w:lineRule="exact"/>
              <w:rPr>
                <w:rFonts w:hint="default"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RAN1 agreements in RAN1 #119</w:t>
            </w:r>
          </w:p>
          <w:p w14:paraId="57CE0593">
            <w:pPr>
              <w:numPr>
                <w:ilvl w:val="0"/>
                <w:numId w:val="7"/>
              </w:numPr>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The concept/terminology “functionality</w:t>
            </w:r>
            <w:r>
              <w:rPr>
                <w:rFonts w:hint="default" w:ascii="Times New Roman" w:hAnsi="Times New Roman" w:cs="Times New Roman"/>
                <w:color w:val="auto"/>
                <w:sz w:val="20"/>
                <w:szCs w:val="20"/>
                <w:lang w:eastAsia="zh-CN"/>
              </w:rPr>
              <w:t xml:space="preserve">” </w:t>
            </w:r>
            <w:r>
              <w:rPr>
                <w:rFonts w:hint="default" w:ascii="Times New Roman" w:hAnsi="Times New Roman" w:eastAsia="Malgun Gothic" w:cs="Times New Roman"/>
                <w:color w:val="auto"/>
                <w:sz w:val="20"/>
                <w:szCs w:val="20"/>
                <w:lang w:val="en-US" w:eastAsia="zh-CN"/>
              </w:rPr>
              <w:t xml:space="preserve">of </w:t>
            </w:r>
            <w:r>
              <w:rPr>
                <w:rFonts w:hint="default" w:ascii="Times New Roman" w:hAnsi="Times New Roman" w:eastAsia="Malgun Gothic" w:cs="Times New Roman"/>
                <w:b/>
                <w:bCs/>
                <w:color w:val="auto"/>
                <w:sz w:val="20"/>
                <w:szCs w:val="20"/>
                <w:lang w:val="en-US" w:eastAsia="zh-CN"/>
              </w:rPr>
              <w:t>Supported functionalities</w:t>
            </w:r>
            <w:r>
              <w:rPr>
                <w:rFonts w:hint="default" w:ascii="Times New Roman" w:hAnsi="Times New Roman" w:eastAsia="Malgun Gothic" w:cs="Times New Roman"/>
                <w:color w:val="auto"/>
                <w:sz w:val="20"/>
                <w:szCs w:val="20"/>
                <w:lang w:val="en-US" w:eastAsia="zh-CN"/>
              </w:rPr>
              <w:t xml:space="preserve"> may refer to UE-capability information/parameters i.e., Rel-19 AI/ML-enabled Features/FGs</w:t>
            </w:r>
            <w:r>
              <w:rPr>
                <w:rFonts w:hint="default" w:ascii="Times New Roman" w:hAnsi="Times New Roman" w:cs="Times New Roman"/>
                <w:color w:val="auto"/>
                <w:sz w:val="20"/>
                <w:szCs w:val="20"/>
                <w:lang w:val="en-US" w:eastAsia="zh-CN"/>
              </w:rPr>
              <w:t xml:space="preserve"> </w:t>
            </w:r>
          </w:p>
          <w:p w14:paraId="15B8C414">
            <w:pPr>
              <w:numPr>
                <w:ilvl w:val="0"/>
                <w:numId w:val="7"/>
              </w:numPr>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The concept/terminology “ functionality</w:t>
            </w:r>
            <w:r>
              <w:rPr>
                <w:rFonts w:hint="default" w:ascii="Times New Roman" w:hAnsi="Times New Roman" w:cs="Times New Roman"/>
                <w:color w:val="auto"/>
                <w:sz w:val="20"/>
                <w:szCs w:val="20"/>
                <w:lang w:eastAsia="zh-CN"/>
              </w:rPr>
              <w:t xml:space="preserve">” </w:t>
            </w:r>
            <w:r>
              <w:rPr>
                <w:rFonts w:hint="default" w:ascii="Times New Roman" w:hAnsi="Times New Roman" w:eastAsia="Malgun Gothic" w:cs="Times New Roman"/>
                <w:color w:val="auto"/>
                <w:sz w:val="20"/>
                <w:szCs w:val="20"/>
                <w:lang w:val="en-US" w:eastAsia="zh-CN"/>
              </w:rPr>
              <w:t xml:space="preserve"> of </w:t>
            </w:r>
            <w:r>
              <w:rPr>
                <w:rFonts w:hint="default" w:ascii="Times New Roman" w:hAnsi="Times New Roman" w:eastAsia="Malgun Gothic" w:cs="Times New Roman"/>
                <w:b/>
                <w:bCs/>
                <w:color w:val="auto"/>
                <w:sz w:val="20"/>
                <w:szCs w:val="20"/>
                <w:lang w:val="en-US" w:eastAsia="zh-CN"/>
              </w:rPr>
              <w:t>Applicable functionalities</w:t>
            </w:r>
            <w:r>
              <w:rPr>
                <w:rFonts w:hint="default" w:ascii="Times New Roman" w:hAnsi="Times New Roman" w:eastAsia="Malgun Gothic" w:cs="Times New Roman"/>
                <w:color w:val="auto"/>
                <w:sz w:val="20"/>
                <w:szCs w:val="20"/>
                <w:lang w:val="en-US" w:eastAsia="zh-CN"/>
              </w:rPr>
              <w:t xml:space="preserve"> may refer to </w:t>
            </w:r>
            <w:r>
              <w:rPr>
                <w:rFonts w:hint="default" w:ascii="Times New Roman" w:hAnsi="Times New Roman" w:eastAsia="Malgun Gothic" w:cs="Times New Roman"/>
                <w:i/>
                <w:iCs/>
                <w:color w:val="auto"/>
                <w:sz w:val="20"/>
                <w:szCs w:val="20"/>
                <w:lang w:val="en-US" w:eastAsia="zh-CN"/>
              </w:rPr>
              <w:t>CSI-ReportConfig</w:t>
            </w:r>
            <w:r>
              <w:rPr>
                <w:rFonts w:hint="default" w:ascii="Times New Roman" w:hAnsi="Times New Roman" w:eastAsia="Malgun Gothic" w:cs="Times New Roman"/>
                <w:color w:val="auto"/>
                <w:sz w:val="20"/>
                <w:szCs w:val="20"/>
                <w:lang w:val="en-US" w:eastAsia="zh-CN"/>
              </w:rPr>
              <w:t xml:space="preserve"> for inference configuration or a set of inference related parameters </w:t>
            </w:r>
          </w:p>
          <w:p w14:paraId="6C46E76A">
            <w:pPr>
              <w:numPr>
                <w:ilvl w:val="0"/>
                <w:numId w:val="7"/>
              </w:numPr>
              <w:tabs>
                <w:tab w:val="left" w:pos="360"/>
              </w:tabs>
              <w:spacing w:before="156" w:after="156" w:line="276" w:lineRule="auto"/>
              <w:rPr>
                <w:rFonts w:hint="default" w:ascii="Times New Roman" w:hAnsi="Times New Roman" w:eastAsia="Malgun Gothic" w:cs="Times New Roman"/>
                <w:color w:val="auto"/>
                <w:sz w:val="20"/>
                <w:szCs w:val="20"/>
                <w:lang w:val="en-US" w:eastAsia="zh-CN"/>
              </w:rPr>
            </w:pPr>
            <w:r>
              <w:rPr>
                <w:rFonts w:hint="default" w:ascii="Times New Roman" w:hAnsi="Times New Roman" w:eastAsia="Malgun Gothic" w:cs="Times New Roman"/>
                <w:color w:val="auto"/>
                <w:sz w:val="20"/>
                <w:szCs w:val="20"/>
                <w:lang w:val="en-US" w:eastAsia="zh-CN"/>
              </w:rPr>
              <w:t xml:space="preserve">The </w:t>
            </w:r>
            <w:r>
              <w:rPr>
                <w:rFonts w:hint="default" w:ascii="Times New Roman" w:hAnsi="Times New Roman" w:eastAsia="Malgun Gothic" w:cs="Times New Roman"/>
                <w:b/>
                <w:bCs/>
                <w:color w:val="auto"/>
                <w:sz w:val="20"/>
                <w:szCs w:val="20"/>
                <w:lang w:val="en-US" w:eastAsia="zh-CN"/>
              </w:rPr>
              <w:t>Activated functionalities</w:t>
            </w:r>
            <w:r>
              <w:rPr>
                <w:rFonts w:hint="default" w:ascii="Times New Roman" w:hAnsi="Times New Roman" w:eastAsia="Malgun Gothic" w:cs="Times New Roman"/>
                <w:color w:val="auto"/>
                <w:sz w:val="20"/>
                <w:szCs w:val="20"/>
                <w:lang w:val="en-US" w:eastAsia="zh-CN"/>
              </w:rPr>
              <w:t xml:space="preserve"> may be enabled based on CSI framework.</w:t>
            </w:r>
          </w:p>
          <w:p w14:paraId="7728B787">
            <w:pPr>
              <w:ind w:left="0" w:firstLine="0"/>
              <w:rPr>
                <w:rFonts w:ascii="Arial" w:hAnsi="Arial" w:cs="Arial"/>
                <w:strike/>
                <w:color w:val="FF0000"/>
                <w:sz w:val="18"/>
                <w:szCs w:val="18"/>
                <w:lang w:eastAsia="zh-CN"/>
              </w:rPr>
            </w:pPr>
            <w:r>
              <w:rPr>
                <w:rFonts w:hint="default" w:ascii="Times New Roman" w:hAnsi="Times New Roman" w:cs="Times New Roman"/>
                <w:color w:val="auto"/>
                <w:sz w:val="20"/>
                <w:szCs w:val="20"/>
                <w:lang w:eastAsia="zh-CN"/>
              </w:rPr>
              <w:t xml:space="preserve">Therefore, the meaning and the granularity of “functionality” for </w:t>
            </w:r>
            <w:r>
              <w:rPr>
                <w:rFonts w:hint="default" w:ascii="Times New Roman" w:hAnsi="Times New Roman" w:cs="Times New Roman"/>
                <w:b/>
                <w:bCs/>
                <w:color w:val="auto"/>
                <w:sz w:val="20"/>
                <w:szCs w:val="20"/>
                <w:lang w:eastAsia="zh-CN"/>
              </w:rPr>
              <w:t xml:space="preserve">Applicable functionalities, Activated functionalities and Supported functionalities </w:t>
            </w:r>
            <w:r>
              <w:rPr>
                <w:rFonts w:hint="default" w:ascii="Times New Roman" w:hAnsi="Times New Roman" w:cs="Times New Roman"/>
                <w:color w:val="auto"/>
                <w:sz w:val="20"/>
                <w:szCs w:val="20"/>
                <w:lang w:eastAsia="zh-CN"/>
              </w:rPr>
              <w:t xml:space="preserve">may or may not be the same. </w:t>
            </w:r>
          </w:p>
          <w:p w14:paraId="0B3CFDE8">
            <w:pPr>
              <w:spacing w:after="180" w:line="240" w:lineRule="exact"/>
              <w:rPr>
                <w:rFonts w:hint="eastAsia" w:ascii="Times New Roman" w:hAnsi="Times New Roman" w:eastAsia="等线"/>
                <w:bCs/>
                <w:iCs/>
                <w:sz w:val="20"/>
                <w:szCs w:val="20"/>
                <w:vertAlign w:val="baseline"/>
                <w:lang w:val="en-US" w:eastAsia="zh-CN"/>
              </w:rPr>
            </w:pPr>
          </w:p>
          <w:p w14:paraId="069FF023">
            <w:pPr>
              <w:spacing w:after="180" w:line="240" w:lineRule="exact"/>
              <w:rPr>
                <w:rFonts w:hint="eastAsia" w:ascii="Times New Roman" w:hAnsi="Times New Roman" w:eastAsia="等线"/>
                <w:b/>
                <w:bCs w:val="0"/>
                <w:iCs/>
                <w:sz w:val="20"/>
                <w:szCs w:val="20"/>
                <w:vertAlign w:val="baseline"/>
                <w:lang w:val="en-US" w:eastAsia="zh-CN"/>
              </w:rPr>
            </w:pPr>
            <w:r>
              <w:rPr>
                <w:rFonts w:hint="eastAsia" w:ascii="Times New Roman" w:hAnsi="Times New Roman" w:eastAsia="等线"/>
                <w:b/>
                <w:bCs w:val="0"/>
                <w:iCs/>
                <w:sz w:val="20"/>
                <w:szCs w:val="20"/>
                <w:vertAlign w:val="baseline"/>
                <w:lang w:val="en-US" w:eastAsia="zh-CN"/>
              </w:rPr>
              <w:t>RAN2 agreements in RAN2 #127</w:t>
            </w:r>
          </w:p>
          <w:p w14:paraId="0E3DAFB8">
            <w:pPr>
              <w:spacing w:after="180" w:line="240" w:lineRule="exact"/>
              <w:rPr>
                <w:rFonts w:hint="default" w:ascii="Times New Roman" w:hAnsi="Times New Roman" w:eastAsia="等线"/>
                <w:bCs/>
                <w:iCs/>
                <w:sz w:val="20"/>
                <w:szCs w:val="20"/>
                <w:vertAlign w:val="baseline"/>
                <w:lang w:val="en-US" w:eastAsia="zh-CN"/>
              </w:rPr>
            </w:pPr>
            <w:r>
              <w:rPr>
                <w:rFonts w:hint="default" w:ascii="Times New Roman" w:hAnsi="Times New Roman" w:eastAsia="等线"/>
                <w:bCs/>
                <w:iCs/>
                <w:sz w:val="20"/>
                <w:szCs w:val="20"/>
                <w:vertAlign w:val="baseline"/>
                <w:lang w:val="en-US" w:eastAsia="zh-CN"/>
              </w:rPr>
              <w:t>Agreements on definitions</w:t>
            </w:r>
          </w:p>
          <w:p w14:paraId="2A119A7F">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color w:val="auto"/>
                <w:sz w:val="20"/>
                <w:szCs w:val="20"/>
                <w:vertAlign w:val="baseline"/>
                <w:lang w:val="en-US" w:eastAsia="zh-CN"/>
              </w:rPr>
              <w:t>Supported functionalities</w:t>
            </w:r>
            <w:r>
              <w:rPr>
                <w:rFonts w:hint="default" w:ascii="Times New Roman" w:hAnsi="Times New Roman" w:eastAsia="等线"/>
                <w:bCs/>
                <w:iCs/>
                <w:sz w:val="20"/>
                <w:szCs w:val="20"/>
                <w:vertAlign w:val="baseline"/>
                <w:lang w:val="en-US" w:eastAsia="zh-CN"/>
              </w:rPr>
              <w:t xml:space="preserve"> refer to functionalities that UE can indicate by using UE capability information (via RRC/LPP signalling)</w:t>
            </w:r>
          </w:p>
          <w:p w14:paraId="0DAB0063">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sz w:val="20"/>
                <w:szCs w:val="20"/>
                <w:vertAlign w:val="baseline"/>
                <w:lang w:val="en-US" w:eastAsia="zh-CN"/>
              </w:rPr>
              <w:t>Applicable functionalities</w:t>
            </w:r>
            <w:r>
              <w:rPr>
                <w:rFonts w:hint="default" w:ascii="Times New Roman" w:hAnsi="Times New Roman" w:eastAsia="等线"/>
                <w:bCs/>
                <w:iCs/>
                <w:sz w:val="20"/>
                <w:szCs w:val="20"/>
                <w:vertAlign w:val="baseline"/>
                <w:lang w:val="en-US" w:eastAsia="zh-CN"/>
              </w:rPr>
              <w:t xml:space="preserve"> refers to functionalities that the UE is ready to apply for inference</w:t>
            </w:r>
          </w:p>
          <w:p w14:paraId="737BC70C">
            <w:pPr>
              <w:numPr>
                <w:ilvl w:val="0"/>
                <w:numId w:val="8"/>
              </w:numPr>
              <w:spacing w:after="180" w:line="240" w:lineRule="exact"/>
              <w:ind w:left="425" w:leftChars="0" w:hanging="425" w:firstLineChars="0"/>
              <w:rPr>
                <w:rFonts w:hint="default" w:ascii="Times New Roman" w:hAnsi="Times New Roman" w:eastAsia="等线"/>
                <w:bCs/>
                <w:iCs/>
                <w:sz w:val="20"/>
                <w:szCs w:val="20"/>
                <w:vertAlign w:val="baseline"/>
                <w:lang w:val="en-US" w:eastAsia="zh-CN"/>
              </w:rPr>
            </w:pPr>
            <w:r>
              <w:rPr>
                <w:rFonts w:hint="default" w:ascii="Times New Roman" w:hAnsi="Times New Roman" w:eastAsia="等线"/>
                <w:b/>
                <w:bCs w:val="0"/>
                <w:iCs/>
                <w:sz w:val="20"/>
                <w:szCs w:val="20"/>
                <w:vertAlign w:val="baseline"/>
                <w:lang w:val="en-US" w:eastAsia="zh-CN"/>
              </w:rPr>
              <w:t>Activated functionalities</w:t>
            </w:r>
            <w:r>
              <w:rPr>
                <w:rFonts w:hint="default" w:ascii="Times New Roman" w:hAnsi="Times New Roman" w:eastAsia="等线"/>
                <w:bCs/>
                <w:iCs/>
                <w:sz w:val="20"/>
                <w:szCs w:val="20"/>
                <w:vertAlign w:val="baseline"/>
                <w:lang w:val="en-US" w:eastAsia="zh-CN"/>
              </w:rPr>
              <w:t xml:space="preserve"> refers to functionalities already enabled for performing inference</w:t>
            </w:r>
          </w:p>
        </w:tc>
      </w:tr>
    </w:tbl>
    <w:p w14:paraId="2FC31B41">
      <w:pPr>
        <w:spacing w:after="180" w:line="240" w:lineRule="exact"/>
        <w:rPr>
          <w:rFonts w:hint="default" w:ascii="Times New Roman" w:hAnsi="Times New Roman" w:eastAsia="等线"/>
          <w:bCs/>
          <w:iCs/>
          <w:sz w:val="20"/>
          <w:szCs w:val="20"/>
          <w:lang w:val="en-US" w:eastAsia="zh-CN"/>
        </w:rPr>
      </w:pPr>
    </w:p>
    <w:p w14:paraId="39B88E3D">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Network sends </w:t>
      </w:r>
      <w:r>
        <w:rPr>
          <w:rFonts w:hint="eastAsia" w:ascii="Times New Roman" w:hAnsi="Times New Roman" w:eastAsia="等线"/>
          <w:bCs/>
          <w:i/>
          <w:iCs w:val="0"/>
          <w:sz w:val="20"/>
          <w:szCs w:val="20"/>
          <w:lang w:val="en-US" w:eastAsia="zh-CN"/>
        </w:rPr>
        <w:t>UECapabilityEnqiry</w:t>
      </w:r>
      <w:r>
        <w:rPr>
          <w:rFonts w:hint="eastAsia" w:ascii="Times New Roman" w:hAnsi="Times New Roman" w:eastAsia="等线"/>
          <w:bCs/>
          <w:iCs/>
          <w:sz w:val="20"/>
          <w:szCs w:val="20"/>
          <w:lang w:val="en-US" w:eastAsia="zh-CN"/>
        </w:rPr>
        <w:t xml:space="preserve"> message to initiate the procedure to a UE reporting its AI/ML supported functionalities in step 1. UE sends </w:t>
      </w:r>
      <w:r>
        <w:rPr>
          <w:rFonts w:hint="eastAsia" w:ascii="Times New Roman" w:hAnsi="Times New Roman" w:eastAsia="等线"/>
          <w:bCs/>
          <w:i/>
          <w:iCs w:val="0"/>
          <w:sz w:val="20"/>
          <w:szCs w:val="20"/>
          <w:lang w:val="en-US" w:eastAsia="zh-CN"/>
        </w:rPr>
        <w:t>UECapablityInformation</w:t>
      </w:r>
      <w:r>
        <w:rPr>
          <w:rFonts w:hint="eastAsia" w:ascii="Times New Roman" w:hAnsi="Times New Roman" w:eastAsia="等线"/>
          <w:bCs/>
          <w:iCs/>
          <w:sz w:val="20"/>
          <w:szCs w:val="20"/>
          <w:lang w:val="en-US" w:eastAsia="zh-CN"/>
        </w:rPr>
        <w:t xml:space="preserve"> message to network, containing supported functionalities at the UE side. The applicable functionalities can be sent to network in step 4 or updated in UAI. The funtionalily can be activated after step 3 or step 5 pending on whether full inference configuration is signalled in step 3 or step 5. The UE applicable functionalities can be activated autonomously by UE or activated by network indication.</w:t>
      </w:r>
    </w:p>
    <w:p w14:paraId="250DA456">
      <w:pPr>
        <w:spacing w:after="180" w:line="240" w:lineRule="exact"/>
        <w:rPr>
          <w:rFonts w:hint="eastAsia" w:ascii="Times New Roman" w:hAnsi="Times New Roman" w:eastAsia="等线"/>
          <w:bCs/>
          <w:iCs/>
          <w:sz w:val="20"/>
          <w:szCs w:val="20"/>
          <w:lang w:val="en-US" w:eastAsia="zh-CN"/>
        </w:rPr>
      </w:pPr>
    </w:p>
    <w:p w14:paraId="161F4649">
      <w:pPr>
        <w:overflowPunct w:val="0"/>
        <w:autoSpaceDE w:val="0"/>
        <w:autoSpaceDN w:val="0"/>
        <w:adjustRightInd w:val="0"/>
        <w:spacing w:after="180" w:line="240" w:lineRule="auto"/>
        <w:jc w:val="center"/>
        <w:textAlignment w:val="baseline"/>
        <w:rPr>
          <w:rFonts w:ascii="Times New Roman" w:hAnsi="Times New Roman" w:eastAsia="Times New Roman" w:cs="Times New Roman"/>
          <w:kern w:val="0"/>
          <w:sz w:val="20"/>
          <w:szCs w:val="20"/>
          <w:lang w:val="en-GB"/>
          <w14:ligatures w14:val="none"/>
        </w:rPr>
      </w:pPr>
      <w:r>
        <w:object>
          <v:shape id="_x0000_i1025" o:spt="75" type="#_x0000_t75" style="height:174pt;width:222.7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r:id="rId4">
            <o:LockedField>false</o:LockedField>
          </o:OLEObject>
        </w:object>
      </w:r>
    </w:p>
    <w:p w14:paraId="723C5B1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RAN1 and RAN2 agreements, it can be seen that the interaction between network and UE is in the granularity of funtionality. From RAN4 point of view, the requirements/tests are defined at least based on funtionality (funtionality refer to AI/ML-enabled Feature/FG) .</w:t>
      </w:r>
    </w:p>
    <w:p w14:paraId="1682F177">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RAN4 requirements are specified at least based on functionality (funtionality refer to AI/ML-enabled Feature/FG)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0CCF8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B049CEB">
            <w:pPr>
              <w:rPr>
                <w:rFonts w:hint="default" w:ascii="Times New Roman" w:hAnsi="Times New Roman" w:cs="Times New Roman"/>
                <w:b/>
                <w:i/>
                <w:iCs/>
                <w:sz w:val="20"/>
                <w:szCs w:val="20"/>
                <w:u w:val="single"/>
                <w:lang w:eastAsia="ko-KR"/>
              </w:rPr>
            </w:pPr>
            <w:r>
              <w:rPr>
                <w:rFonts w:hint="default" w:ascii="Times New Roman" w:hAnsi="Times New Roman" w:cs="Times New Roman"/>
                <w:b/>
                <w:sz w:val="20"/>
                <w:szCs w:val="20"/>
                <w:u w:val="single"/>
                <w:lang w:eastAsia="ko-KR"/>
              </w:rPr>
              <w:t xml:space="preserve">Issue 1-1-2: How many requirements to define per </w:t>
            </w:r>
            <w:r>
              <w:rPr>
                <w:rFonts w:hint="default" w:ascii="Times New Roman" w:hAnsi="Times New Roman" w:cs="Times New Roman"/>
                <w:b/>
                <w:i/>
                <w:iCs/>
                <w:sz w:val="20"/>
                <w:szCs w:val="20"/>
                <w:u w:val="single"/>
                <w:lang w:eastAsia="ko-KR"/>
              </w:rPr>
              <w:t>requirement set</w:t>
            </w:r>
          </w:p>
          <w:p w14:paraId="4B049233">
            <w:pPr>
              <w:pStyle w:val="11"/>
              <w:numPr>
                <w:ilvl w:val="0"/>
                <w:numId w:val="6"/>
              </w:numPr>
              <w:overflowPunct/>
              <w:autoSpaceDE/>
              <w:autoSpaceDN/>
              <w:adjustRightInd/>
              <w:spacing w:after="120"/>
              <w:ind w:left="72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Proposals</w:t>
            </w:r>
          </w:p>
          <w:p w14:paraId="09699C87">
            <w:pPr>
              <w:pStyle w:val="11"/>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To determine how many requirements to define, a study is needed of how AI/ML behaviour changes with different conditions (Apple proposal 3, Nokia proposal 4)</w:t>
            </w:r>
          </w:p>
          <w:p w14:paraId="33A68D08">
            <w:pPr>
              <w:pStyle w:val="11"/>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Different test configurations/parameters are used for tests, at least for generalization (CMCC proposal 2).</w:t>
            </w:r>
          </w:p>
          <w:p w14:paraId="177D4945">
            <w:pPr>
              <w:pStyle w:val="11"/>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It is necessary to ensure that the testing avoids the overfitting problem; if not other solutions may be needed (Korea test laboratory proposals 4 and 5)</w:t>
            </w:r>
          </w:p>
          <w:p w14:paraId="3C709BFB">
            <w:pPr>
              <w:pStyle w:val="11"/>
              <w:numPr>
                <w:ilvl w:val="1"/>
                <w:numId w:val="6"/>
              </w:numPr>
              <w:overflowPunct/>
              <w:autoSpaceDE/>
              <w:autoSpaceDN/>
              <w:adjustRightInd/>
              <w:spacing w:after="120"/>
              <w:ind w:left="1440"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Create a mixed test-set for generalization testing, based on UE capability signaling configuration report (Apple proposals 7, 8)</w:t>
            </w:r>
          </w:p>
          <w:p w14:paraId="484124E3">
            <w:pPr>
              <w:pStyle w:val="11"/>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lang w:eastAsia="zh-CN"/>
              </w:rPr>
              <w:t>Option 5: Scenarios not identified in the capability report are other scenarios for test (ZTE)</w:t>
            </w:r>
          </w:p>
        </w:tc>
      </w:tr>
    </w:tbl>
    <w:p w14:paraId="12EA3570">
      <w:pPr>
        <w:spacing w:after="180" w:line="240" w:lineRule="exact"/>
        <w:rPr>
          <w:rFonts w:hint="eastAsia" w:ascii="Times New Roman" w:hAnsi="Times New Roman" w:eastAsia="等线"/>
          <w:bCs/>
          <w:iCs/>
          <w:sz w:val="20"/>
          <w:szCs w:val="20"/>
          <w:lang w:val="en-US" w:eastAsia="zh-CN"/>
        </w:rPr>
      </w:pPr>
    </w:p>
    <w:p w14:paraId="1811963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previous meeting, the testing goals are updated as to verify whether the minimum performance of AI/ML functionality/feature can be achieved, but FFS </w:t>
      </w:r>
      <w:r>
        <w:rPr>
          <w:rFonts w:hint="default" w:ascii="Times New Roman" w:hAnsi="Times New Roman" w:cs="Times New Roman"/>
          <w:sz w:val="20"/>
          <w:szCs w:val="20"/>
        </w:rPr>
        <w:t>on whether and how many different test configurations/parameters are used for tests.</w:t>
      </w:r>
      <w:r>
        <w:rPr>
          <w:rFonts w:hint="eastAsia" w:ascii="Times New Roman" w:hAnsi="Times New Roman" w:cs="Times New Roman"/>
          <w:sz w:val="20"/>
          <w:szCs w:val="20"/>
          <w:lang w:val="en-US" w:eastAsia="zh-CN"/>
        </w:rPr>
        <w:t xml:space="preserve"> </w:t>
      </w:r>
      <w:r>
        <w:rPr>
          <w:rFonts w:hint="eastAsia" w:ascii="Times New Roman" w:hAnsi="Times New Roman" w:eastAsia="等线"/>
          <w:bCs/>
          <w:iCs/>
          <w:sz w:val="20"/>
          <w:szCs w:val="20"/>
          <w:lang w:val="en-US" w:eastAsia="zh-CN"/>
        </w:rPr>
        <w:t xml:space="preserve">Our view is that it is necessary to consider </w:t>
      </w:r>
      <w:r>
        <w:rPr>
          <w:rFonts w:hint="default" w:ascii="Times New Roman" w:hAnsi="Times New Roman" w:cs="Times New Roman"/>
          <w:sz w:val="20"/>
          <w:szCs w:val="20"/>
        </w:rPr>
        <w:t>different test configurations/parameters</w:t>
      </w:r>
      <w:r>
        <w:rPr>
          <w:rFonts w:hint="eastAsia" w:ascii="Times New Roman" w:hAnsi="Times New Roman" w:cs="Times New Roman"/>
          <w:sz w:val="20"/>
          <w:szCs w:val="20"/>
          <w:lang w:val="en-US" w:eastAsia="zh-CN"/>
        </w:rPr>
        <w:t xml:space="preserve"> at least for generalization. </w:t>
      </w:r>
      <w:r>
        <w:rPr>
          <w:rFonts w:hint="eastAsia" w:ascii="Times New Roman" w:hAnsi="Times New Roman" w:eastAsia="等线"/>
          <w:bCs/>
          <w:iCs/>
          <w:sz w:val="20"/>
          <w:szCs w:val="20"/>
          <w:lang w:val="en-US" w:eastAsia="zh-CN"/>
        </w:rPr>
        <w:t>According to Rel-18 discussion, the goals of generalization test are to verify whether the minimum level of performance of AI/ML functionality/model can be achieved/maintain under the identified scenarios and/or configurations, while the performance won</w:t>
      </w:r>
      <w:r>
        <w:rPr>
          <w:rFonts w:hint="default" w:ascii="Times New Roman" w:hAnsi="Times New Roman" w:eastAsia="等线"/>
          <w:bCs/>
          <w:iCs/>
          <w:sz w:val="20"/>
          <w:szCs w:val="20"/>
          <w:lang w:val="en-US" w:eastAsia="zh-CN"/>
        </w:rPr>
        <w:t>’</w:t>
      </w:r>
      <w:r>
        <w:rPr>
          <w:rFonts w:hint="eastAsia" w:ascii="Times New Roman" w:hAnsi="Times New Roman" w:eastAsia="等线"/>
          <w:bCs/>
          <w:iCs/>
          <w:sz w:val="20"/>
          <w:szCs w:val="20"/>
          <w:lang w:val="en-US" w:eastAsia="zh-CN"/>
        </w:rPr>
        <w:t xml:space="preserve">t be significantly degraded in other scenarios and/or configurations. </w:t>
      </w:r>
    </w:p>
    <w:p w14:paraId="7D4DE918">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RAN1 evaluation, generalization is impacted by many factors. In high level, according to TR 38.843, deployment scenarios, UE distributions, carrier frequency, TxRU mappings are considered for generalization of CSI compression. And CSI payload sizes, Tx port numbers, are considered for scalability evaluations for CSI compression. For beam management, the performance is impacted by deployment scenarios, UE mobility, etc. Similar situation for positioning. These factors which have impact on performance need to be considered in define requirements</w:t>
      </w:r>
    </w:p>
    <w:p w14:paraId="603AC1A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 xml:space="preserve">different configurations/parameters are </w:t>
      </w:r>
      <w:r>
        <w:rPr>
          <w:rFonts w:hint="eastAsia" w:ascii="Times New Roman" w:hAnsi="Times New Roman" w:cs="Times New Roman"/>
          <w:b/>
          <w:bCs w:val="0"/>
          <w:i/>
          <w:iCs w:val="0"/>
          <w:sz w:val="20"/>
          <w:szCs w:val="20"/>
          <w:lang w:val="en-US" w:eastAsia="zh-CN"/>
        </w:rPr>
        <w:t>considered</w:t>
      </w:r>
      <w:r>
        <w:rPr>
          <w:rFonts w:hint="default" w:ascii="Times New Roman" w:hAnsi="Times New Roman" w:cs="Times New Roman"/>
          <w:b/>
          <w:bCs w:val="0"/>
          <w:i/>
          <w:iCs w:val="0"/>
          <w:sz w:val="20"/>
          <w:szCs w:val="20"/>
        </w:rPr>
        <w:t xml:space="preserve"> for </w:t>
      </w:r>
      <w:r>
        <w:rPr>
          <w:rFonts w:hint="eastAsia" w:ascii="Times New Roman" w:hAnsi="Times New Roman" w:cs="Times New Roman"/>
          <w:b/>
          <w:bCs w:val="0"/>
          <w:i/>
          <w:iCs w:val="0"/>
          <w:sz w:val="20"/>
          <w:szCs w:val="20"/>
          <w:lang w:val="en-US" w:eastAsia="zh-CN"/>
        </w:rPr>
        <w:t>requirements/tests definition.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2C3A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379B20A">
            <w:pPr>
              <w:bidi w:val="0"/>
              <w:rPr>
                <w:rFonts w:hint="default" w:ascii="Times New Roman" w:hAnsi="Times New Roman" w:cs="Times New Roman"/>
                <w:sz w:val="24"/>
                <w:szCs w:val="24"/>
                <w:lang w:eastAsia="zh-CN"/>
              </w:rPr>
            </w:pPr>
            <w:r>
              <w:rPr>
                <w:rFonts w:hint="default" w:ascii="Times New Roman" w:hAnsi="Times New Roman" w:cs="Times New Roman"/>
                <w:b/>
                <w:bCs/>
                <w:sz w:val="24"/>
                <w:szCs w:val="24"/>
              </w:rPr>
              <w:t>Delay requirements for activation/switching/fallback</w:t>
            </w:r>
          </w:p>
          <w:p w14:paraId="7428DDE0">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w:t>
            </w:r>
          </w:p>
          <w:p w14:paraId="5ED4C7EB">
            <w:pPr>
              <w:pStyle w:val="11"/>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RAN4 has the following understanding and need further check whether the understanding is aligned with RAN1 and RAN2:</w:t>
            </w:r>
          </w:p>
          <w:p w14:paraId="240671CB">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b/>
                <w:bCs/>
                <w:sz w:val="20"/>
                <w:szCs w:val="20"/>
              </w:rPr>
              <w:t>AI/ML functionality activation</w:t>
            </w:r>
            <w:r>
              <w:rPr>
                <w:rFonts w:hint="default" w:ascii="Times New Roman" w:hAnsi="Times New Roman" w:cs="Times New Roman"/>
                <w:sz w:val="20"/>
                <w:szCs w:val="20"/>
              </w:rPr>
              <w:t xml:space="preserve"> refers to the process of enabling an applicable functionality to perform inference</w:t>
            </w:r>
          </w:p>
          <w:p w14:paraId="2648300C">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b/>
                <w:bCs/>
                <w:sz w:val="20"/>
                <w:szCs w:val="20"/>
              </w:rPr>
              <w:t>functionality deactivation</w:t>
            </w:r>
            <w:r>
              <w:rPr>
                <w:rFonts w:hint="default" w:ascii="Times New Roman" w:hAnsi="Times New Roman" w:cs="Times New Roman"/>
                <w:sz w:val="20"/>
                <w:szCs w:val="20"/>
              </w:rPr>
              <w:t xml:space="preserve"> refers to the process of network deactivating an active functionality</w:t>
            </w:r>
          </w:p>
          <w:p w14:paraId="3A67F1C9">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w:t>
            </w:r>
          </w:p>
          <w:p w14:paraId="40B3730D">
            <w:pPr>
              <w:pStyle w:val="11"/>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FFS on whether the deactivation requirements will be introduced</w:t>
            </w:r>
          </w:p>
          <w:p w14:paraId="3F519B0E">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The starting point is when the UE receives the signalling to commence deactivation</w:t>
            </w:r>
          </w:p>
          <w:p w14:paraId="38B6400D">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when the endpoint for deactivation is</w:t>
            </w:r>
          </w:p>
          <w:p w14:paraId="42C41601">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whether fallback delay is the same as deactivation delay or has some other components</w:t>
            </w:r>
          </w:p>
          <w:p w14:paraId="778CF1B0">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w:t>
            </w:r>
          </w:p>
          <w:p w14:paraId="7520D828">
            <w:pPr>
              <w:pStyle w:val="11"/>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For beam management use case</w:t>
            </w:r>
          </w:p>
          <w:p w14:paraId="0811740A">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defining the functionality activation delay requirements for the first periodic and semi-persistant reporting based on AI/ML</w:t>
            </w:r>
          </w:p>
          <w:p w14:paraId="209D60B4">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Define functionality activation delay requirement for the first aperiodic reporting based on AI/ML</w:t>
            </w:r>
          </w:p>
          <w:p w14:paraId="50938E4A">
            <w:pPr>
              <w:pStyle w:val="11"/>
              <w:numPr>
                <w:ilvl w:val="3"/>
                <w:numId w:val="6"/>
              </w:numPr>
              <w:overflowPunct/>
              <w:autoSpaceDE/>
              <w:autoSpaceDN/>
              <w:ind w:left="851"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FFS on the definition of first reporting</w:t>
            </w:r>
          </w:p>
          <w:p w14:paraId="2CC45DC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9C9797B">
      <w:pPr>
        <w:spacing w:after="180" w:line="240" w:lineRule="exact"/>
        <w:rPr>
          <w:rFonts w:hint="eastAsia" w:ascii="Times New Roman" w:hAnsi="Times New Roman" w:eastAsia="等线"/>
          <w:bCs/>
          <w:iCs/>
          <w:sz w:val="20"/>
          <w:szCs w:val="20"/>
          <w:lang w:val="en-US" w:eastAsia="zh-CN"/>
        </w:rPr>
      </w:pPr>
    </w:p>
    <w:p w14:paraId="60E652A3">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our internel check, the understanding that AI/ML functionality activation refers to the process of enabling an applicable functionality to perform inference and functionality deactivation refers to the process of network deactivating an active functionality are aligned with RAN1 and RAN2.</w:t>
      </w:r>
    </w:p>
    <w:p w14:paraId="2BD9688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As for the activation delay requirements, it can be discussed case by case. As agreed in RAN2, the activation machanism is different from different CSI reporting type.</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34F6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1B8A7A">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RAN2 agreements in RAN2#129</w:t>
            </w:r>
            <w:r>
              <w:rPr>
                <w:rFonts w:hint="default" w:ascii="Times New Roman" w:hAnsi="Times New Roman" w:eastAsia="等线" w:cs="Times New Roman"/>
                <w:bCs/>
                <w:iCs/>
                <w:sz w:val="20"/>
                <w:szCs w:val="20"/>
                <w:vertAlign w:val="baseline"/>
                <w:lang w:val="en-US" w:eastAsia="zh-CN"/>
              </w:rPr>
              <w:t xml:space="preserve"> </w:t>
            </w:r>
          </w:p>
          <w:p w14:paraId="7701DD6E">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w:t>
            </w:r>
          </w:p>
          <w:p w14:paraId="18DAA274">
            <w:pPr>
              <w:numPr>
                <w:ilvl w:val="0"/>
                <w:numId w:val="10"/>
              </w:numPr>
              <w:spacing w:after="180" w:line="240" w:lineRule="exact"/>
              <w:ind w:left="425" w:leftChars="0" w:hanging="425"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Inference configuration/parameters can be signalled in step 3 and/or Inference configuration can be signalled in step 5 (i.e. option a and option b from RAN1).   </w:t>
            </w:r>
          </w:p>
          <w:p w14:paraId="3D679C1A">
            <w:pPr>
              <w:numPr>
                <w:ilvl w:val="0"/>
                <w:numId w:val="10"/>
              </w:numPr>
              <w:spacing w:after="180" w:line="240" w:lineRule="exact"/>
              <w:ind w:left="425" w:leftChars="0" w:hanging="425"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 xml:space="preserve">The full inference configuration is sent in CSI-ReportConfig. </w:t>
            </w:r>
          </w:p>
          <w:p w14:paraId="1E96804A">
            <w:pPr>
              <w:numPr>
                <w:ilvl w:val="0"/>
                <w:numId w:val="10"/>
              </w:numPr>
              <w:spacing w:after="180" w:line="240" w:lineRule="exact"/>
              <w:ind w:left="425" w:leftChars="0" w:hanging="425"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Upon receiving a full inference configuration, the UE sends the initial applicability report in RRCReconfigurationComplete. UAI can be sent to update applicability.</w:t>
            </w:r>
          </w:p>
          <w:p w14:paraId="6F9EB1CF">
            <w:pPr>
              <w:numPr>
                <w:ilvl w:val="0"/>
                <w:numId w:val="10"/>
              </w:numPr>
              <w:spacing w:after="180" w:line="240" w:lineRule="exact"/>
              <w:ind w:left="425" w:leftChars="0" w:hanging="425"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vertAlign w:val="baseline"/>
                <w:lang w:val="en-US" w:eastAsia="zh-CN"/>
              </w:rPr>
              <w:t>FFS signaling details for option B (e.g. whether it is signaling in CSI-Report Config or otherconfig)</w:t>
            </w:r>
          </w:p>
          <w:p w14:paraId="06BEF049">
            <w:pPr>
              <w:pStyle w:val="14"/>
              <w:numPr>
                <w:ilvl w:val="0"/>
                <w:numId w:val="0"/>
              </w:numPr>
              <w:ind w:left="360" w:hanging="360"/>
              <w:rPr>
                <w:rFonts w:hint="default" w:ascii="Times New Roman" w:hAnsi="Times New Roman" w:cs="Times New Roman"/>
                <w:sz w:val="20"/>
                <w:szCs w:val="20"/>
              </w:rPr>
            </w:pPr>
            <w:r>
              <w:rPr>
                <w:rFonts w:hint="default" w:ascii="Times New Roman" w:hAnsi="Times New Roman" w:cs="Times New Roman"/>
                <w:sz w:val="20"/>
                <w:szCs w:val="20"/>
              </w:rPr>
              <w:t>Agreements applicability reporting and management</w:t>
            </w:r>
          </w:p>
          <w:p w14:paraId="342B2695">
            <w:pPr>
              <w:pStyle w:val="14"/>
              <w:ind w:left="360"/>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Support the explicit reporting of applicability/inapplicability in initial report and subsequent reporting it reports only applicability it changed.   FFS if we report explicit cause </w:t>
            </w:r>
          </w:p>
          <w:p w14:paraId="7AE1E310">
            <w:pPr>
              <w:pStyle w:val="14"/>
              <w:ind w:left="360"/>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If option A is configured in Step 3, </w:t>
            </w:r>
            <w:r>
              <w:rPr>
                <w:rFonts w:hint="default" w:ascii="Times New Roman" w:hAnsi="Times New Roman" w:cs="Times New Roman"/>
                <w:b w:val="0"/>
                <w:bCs/>
                <w:sz w:val="20"/>
                <w:szCs w:val="20"/>
                <w:highlight w:val="cyan"/>
              </w:rPr>
              <w:t>for periodic CSI reporting, the UE autonomously activate the applicable functionalities upon reporting applicable functionalities</w:t>
            </w:r>
            <w:r>
              <w:rPr>
                <w:rFonts w:hint="default" w:ascii="Times New Roman" w:hAnsi="Times New Roman" w:cs="Times New Roman"/>
                <w:b w:val="0"/>
                <w:bCs/>
                <w:sz w:val="20"/>
                <w:szCs w:val="20"/>
              </w:rPr>
              <w:t xml:space="preserve"> via RRCReconfigurationComplete in step 4 (i.e. without need to wait RRCReconfiguration in Step 5).   </w:t>
            </w:r>
          </w:p>
          <w:p w14:paraId="481489A3">
            <w:pPr>
              <w:pStyle w:val="14"/>
              <w:ind w:left="360"/>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The provided periodic CSI configuration should be consistent with reported UE capabilities </w:t>
            </w:r>
          </w:p>
          <w:p w14:paraId="493263F9">
            <w:pPr>
              <w:pStyle w:val="14"/>
              <w:ind w:left="360"/>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FFS option B </w:t>
            </w:r>
          </w:p>
          <w:p w14:paraId="64EB0010">
            <w:pPr>
              <w:pStyle w:val="14"/>
              <w:ind w:left="360"/>
              <w:rPr>
                <w:rFonts w:hint="default" w:ascii="Times New Roman" w:hAnsi="Times New Roman" w:cs="Times New Roman"/>
                <w:b w:val="0"/>
                <w:bCs/>
                <w:sz w:val="20"/>
                <w:szCs w:val="20"/>
                <w:highlight w:val="cyan"/>
              </w:rPr>
            </w:pPr>
            <w:r>
              <w:rPr>
                <w:rFonts w:hint="default" w:ascii="Times New Roman" w:hAnsi="Times New Roman" w:cs="Times New Roman"/>
                <w:b w:val="0"/>
                <w:bCs/>
                <w:sz w:val="20"/>
                <w:szCs w:val="20"/>
              </w:rPr>
              <w:t xml:space="preserve">Semi-persistent and </w:t>
            </w:r>
            <w:r>
              <w:rPr>
                <w:rFonts w:hint="default" w:ascii="Times New Roman" w:hAnsi="Times New Roman" w:cs="Times New Roman"/>
                <w:b w:val="0"/>
                <w:bCs/>
                <w:sz w:val="20"/>
                <w:szCs w:val="20"/>
                <w:highlight w:val="cyan"/>
              </w:rPr>
              <w:t>aperiodic CSI reporting of applicable functionality is activated following legacy CSI framework:</w:t>
            </w:r>
          </w:p>
          <w:p w14:paraId="266C605E">
            <w:pPr>
              <w:pStyle w:val="14"/>
              <w:numPr>
                <w:ilvl w:val="0"/>
                <w:numId w:val="0"/>
              </w:numPr>
              <w:ind w:left="360"/>
              <w:rPr>
                <w:rFonts w:hint="default" w:ascii="Times New Roman" w:hAnsi="Times New Roman" w:cs="Times New Roman"/>
                <w:b w:val="0"/>
                <w:bCs/>
                <w:sz w:val="20"/>
                <w:szCs w:val="20"/>
                <w:highlight w:val="cyan"/>
              </w:rPr>
            </w:pPr>
            <w:r>
              <w:rPr>
                <w:rFonts w:hint="default" w:ascii="Times New Roman" w:hAnsi="Times New Roman" w:cs="Times New Roman"/>
                <w:b w:val="0"/>
                <w:bCs/>
                <w:sz w:val="20"/>
                <w:szCs w:val="20"/>
                <w:highlight w:val="cyan"/>
              </w:rPr>
              <w:t>Semi-persistent reporting, activated by MAC CE/DCI</w:t>
            </w:r>
          </w:p>
          <w:p w14:paraId="1FD5E1C3">
            <w:pPr>
              <w:pStyle w:val="14"/>
              <w:numPr>
                <w:ilvl w:val="0"/>
                <w:numId w:val="0"/>
              </w:numPr>
              <w:ind w:left="360"/>
              <w:rPr>
                <w:rFonts w:hint="default" w:ascii="Times New Roman" w:hAnsi="Times New Roman" w:eastAsia="等线"/>
                <w:bCs/>
                <w:iCs/>
                <w:sz w:val="20"/>
                <w:szCs w:val="20"/>
                <w:vertAlign w:val="baseline"/>
                <w:lang w:val="en-US" w:eastAsia="zh-CN"/>
              </w:rPr>
            </w:pPr>
            <w:r>
              <w:rPr>
                <w:rFonts w:hint="default" w:ascii="Times New Roman" w:hAnsi="Times New Roman" w:cs="Times New Roman"/>
                <w:b w:val="0"/>
                <w:bCs/>
                <w:sz w:val="20"/>
                <w:szCs w:val="20"/>
                <w:highlight w:val="cyan"/>
              </w:rPr>
              <w:t>Aperiodic CSI reporting, activated by DCI</w:t>
            </w:r>
          </w:p>
        </w:tc>
      </w:tr>
    </w:tbl>
    <w:p w14:paraId="45CFDB21">
      <w:pPr>
        <w:spacing w:after="180" w:line="240" w:lineRule="exact"/>
        <w:rPr>
          <w:rFonts w:hint="default" w:ascii="Times New Roman" w:hAnsi="Times New Roman" w:eastAsia="等线"/>
          <w:bCs/>
          <w:iCs/>
          <w:sz w:val="20"/>
          <w:szCs w:val="20"/>
          <w:lang w:val="en-US" w:eastAsia="zh-CN"/>
        </w:rPr>
      </w:pPr>
    </w:p>
    <w:p w14:paraId="19CE9687">
      <w:pPr>
        <w:spacing w:after="180" w:line="240" w:lineRule="exact"/>
        <w:rPr>
          <w:rFonts w:hint="default" w:ascii="Times New Roman" w:hAnsi="Times New Roman" w:eastAsia="宋体" w:cs="Times New Roman"/>
          <w:b w:val="0"/>
          <w:bCs/>
          <w:sz w:val="20"/>
          <w:szCs w:val="20"/>
          <w:lang w:val="en-US" w:eastAsia="zh-CN"/>
        </w:rPr>
      </w:pPr>
      <w:r>
        <w:rPr>
          <w:rFonts w:hint="eastAsia" w:ascii="Times New Roman" w:hAnsi="Times New Roman" w:eastAsia="等线"/>
          <w:bCs/>
          <w:iCs/>
          <w:sz w:val="20"/>
          <w:szCs w:val="20"/>
          <w:lang w:val="en-US" w:eastAsia="zh-CN"/>
        </w:rPr>
        <w:t>It can be seen that how applicable functionalities is activated is different for different report type. I</w:t>
      </w:r>
      <w:r>
        <w:rPr>
          <w:rFonts w:hint="default" w:ascii="Times New Roman" w:hAnsi="Times New Roman" w:cs="Times New Roman"/>
          <w:b w:val="0"/>
          <w:bCs/>
          <w:sz w:val="20"/>
          <w:szCs w:val="20"/>
        </w:rPr>
        <w:t>f option A is configured in Step 3</w:t>
      </w:r>
      <w:r>
        <w:rPr>
          <w:rFonts w:hint="eastAsia" w:ascii="Times New Roman" w:hAnsi="Times New Roman" w:cs="Times New Roman"/>
          <w:b w:val="0"/>
          <w:bCs/>
          <w:sz w:val="20"/>
          <w:szCs w:val="20"/>
          <w:lang w:val="en-US" w:eastAsia="zh-CN"/>
        </w:rPr>
        <w:t xml:space="preserve"> (</w:t>
      </w:r>
      <w:r>
        <w:rPr>
          <w:rFonts w:hint="eastAsia" w:ascii="Times New Roman" w:hAnsi="Times New Roman" w:eastAsia="等线" w:cs="Times New Roman"/>
          <w:bCs/>
          <w:iCs/>
          <w:sz w:val="20"/>
          <w:szCs w:val="20"/>
          <w:vertAlign w:val="baseline"/>
          <w:lang w:val="en-US" w:eastAsia="zh-CN"/>
        </w:rPr>
        <w:t>i</w:t>
      </w:r>
      <w:r>
        <w:rPr>
          <w:rFonts w:hint="default" w:ascii="Times New Roman" w:hAnsi="Times New Roman" w:eastAsia="等线" w:cs="Times New Roman"/>
          <w:bCs/>
          <w:iCs/>
          <w:sz w:val="20"/>
          <w:szCs w:val="20"/>
          <w:vertAlign w:val="baseline"/>
          <w:lang w:val="en-US" w:eastAsia="zh-CN"/>
        </w:rPr>
        <w:t>nference configuration/parameters can be signalled in step 3</w:t>
      </w:r>
      <w:r>
        <w:rPr>
          <w:rFonts w:hint="eastAsia" w:ascii="Times New Roman" w:hAnsi="Times New Roman" w:cs="Times New Roman"/>
          <w:b w:val="0"/>
          <w:bCs/>
          <w:sz w:val="20"/>
          <w:szCs w:val="20"/>
          <w:lang w:val="en-US" w:eastAsia="zh-CN"/>
        </w:rPr>
        <w:t>)</w:t>
      </w:r>
      <w:r>
        <w:rPr>
          <w:rFonts w:hint="default" w:ascii="Times New Roman" w:hAnsi="Times New Roman" w:cs="Times New Roman"/>
          <w:b w:val="0"/>
          <w:bCs/>
          <w:sz w:val="20"/>
          <w:szCs w:val="20"/>
        </w:rPr>
        <w:t>, for periodic CSI reporting, the UE autonomously activate the applicable functionalities upon reporting applicable functionalities via RRCReconfigurationComplete in step 4 (i.e. without need to wait RRCReconfiguration in Step 5).</w:t>
      </w:r>
      <w:r>
        <w:rPr>
          <w:rFonts w:hint="eastAsia" w:ascii="Times New Roman" w:hAnsi="Times New Roman" w:cs="Times New Roman"/>
          <w:b w:val="0"/>
          <w:bCs/>
          <w:sz w:val="20"/>
          <w:szCs w:val="20"/>
          <w:lang w:val="en-US" w:eastAsia="zh-CN"/>
        </w:rPr>
        <w:t xml:space="preserve"> For the case that </w:t>
      </w:r>
      <w:r>
        <w:rPr>
          <w:rFonts w:hint="default" w:ascii="Times New Roman" w:hAnsi="Times New Roman" w:cs="Times New Roman"/>
          <w:b w:val="0"/>
          <w:bCs/>
          <w:sz w:val="20"/>
          <w:szCs w:val="20"/>
        </w:rPr>
        <w:t>option A is configured in Step 3</w:t>
      </w:r>
      <w:r>
        <w:rPr>
          <w:rFonts w:hint="eastAsia" w:ascii="Times New Roman" w:hAnsi="Times New Roman" w:cs="Times New Roman"/>
          <w:b w:val="0"/>
          <w:bCs/>
          <w:sz w:val="20"/>
          <w:szCs w:val="20"/>
          <w:lang w:val="en-US" w:eastAsia="zh-CN"/>
        </w:rPr>
        <w:t xml:space="preserve"> (</w:t>
      </w:r>
      <w:r>
        <w:rPr>
          <w:rFonts w:hint="eastAsia" w:ascii="Times New Roman" w:hAnsi="Times New Roman" w:eastAsia="等线" w:cs="Times New Roman"/>
          <w:bCs/>
          <w:iCs/>
          <w:sz w:val="20"/>
          <w:szCs w:val="20"/>
          <w:vertAlign w:val="baseline"/>
          <w:lang w:val="en-US" w:eastAsia="zh-CN"/>
        </w:rPr>
        <w:t>i</w:t>
      </w:r>
      <w:r>
        <w:rPr>
          <w:rFonts w:hint="default" w:ascii="Times New Roman" w:hAnsi="Times New Roman" w:eastAsia="等线" w:cs="Times New Roman"/>
          <w:bCs/>
          <w:iCs/>
          <w:sz w:val="20"/>
          <w:szCs w:val="20"/>
          <w:vertAlign w:val="baseline"/>
          <w:lang w:val="en-US" w:eastAsia="zh-CN"/>
        </w:rPr>
        <w:t xml:space="preserve">nference configuration/parameters </w:t>
      </w:r>
      <w:r>
        <w:rPr>
          <w:rFonts w:hint="eastAsia" w:ascii="Times New Roman" w:hAnsi="Times New Roman" w:eastAsia="等线" w:cs="Times New Roman"/>
          <w:bCs/>
          <w:iCs/>
          <w:sz w:val="20"/>
          <w:szCs w:val="20"/>
          <w:vertAlign w:val="baseline"/>
          <w:lang w:val="en-US" w:eastAsia="zh-CN"/>
        </w:rPr>
        <w:t>are</w:t>
      </w:r>
      <w:r>
        <w:rPr>
          <w:rFonts w:hint="default" w:ascii="Times New Roman" w:hAnsi="Times New Roman" w:eastAsia="等线" w:cs="Times New Roman"/>
          <w:bCs/>
          <w:iCs/>
          <w:sz w:val="20"/>
          <w:szCs w:val="20"/>
          <w:vertAlign w:val="baseline"/>
          <w:lang w:val="en-US" w:eastAsia="zh-CN"/>
        </w:rPr>
        <w:t xml:space="preserve"> signalled in step 3</w:t>
      </w:r>
      <w:r>
        <w:rPr>
          <w:rFonts w:hint="eastAsia" w:ascii="Times New Roman" w:hAnsi="Times New Roman" w:cs="Times New Roman"/>
          <w:b w:val="0"/>
          <w:bCs/>
          <w:sz w:val="20"/>
          <w:szCs w:val="20"/>
          <w:lang w:val="en-US" w:eastAsia="zh-CN"/>
        </w:rPr>
        <w:t xml:space="preserve">), since it is autonomously activated by reporting </w:t>
      </w:r>
      <w:r>
        <w:rPr>
          <w:rFonts w:hint="default" w:ascii="Times New Roman" w:hAnsi="Times New Roman" w:cs="Times New Roman"/>
          <w:b w:val="0"/>
          <w:bCs/>
          <w:sz w:val="20"/>
          <w:szCs w:val="20"/>
        </w:rPr>
        <w:t>applicable functionalities</w:t>
      </w:r>
      <w:r>
        <w:rPr>
          <w:rFonts w:hint="eastAsia" w:ascii="Times New Roman" w:hAnsi="Times New Roman" w:cs="Times New Roman"/>
          <w:b w:val="0"/>
          <w:bCs/>
          <w:sz w:val="20"/>
          <w:szCs w:val="20"/>
          <w:lang w:val="en-US" w:eastAsia="zh-CN"/>
        </w:rPr>
        <w:t xml:space="preserve">, no need to define activation delay requirements. For the case that </w:t>
      </w:r>
      <w:r>
        <w:rPr>
          <w:rFonts w:hint="default" w:ascii="Times New Roman" w:hAnsi="Times New Roman" w:cs="Times New Roman"/>
          <w:b w:val="0"/>
          <w:bCs/>
          <w:sz w:val="20"/>
          <w:szCs w:val="20"/>
        </w:rPr>
        <w:t xml:space="preserve">option </w:t>
      </w:r>
      <w:r>
        <w:rPr>
          <w:rFonts w:hint="eastAsia" w:ascii="Times New Roman" w:hAnsi="Times New Roman" w:cs="Times New Roman"/>
          <w:b w:val="0"/>
          <w:bCs/>
          <w:sz w:val="20"/>
          <w:szCs w:val="20"/>
          <w:lang w:val="en-US" w:eastAsia="zh-CN"/>
        </w:rPr>
        <w:t>B</w:t>
      </w:r>
      <w:r>
        <w:rPr>
          <w:rFonts w:hint="default" w:ascii="Times New Roman" w:hAnsi="Times New Roman" w:cs="Times New Roman"/>
          <w:b w:val="0"/>
          <w:bCs/>
          <w:sz w:val="20"/>
          <w:szCs w:val="20"/>
        </w:rPr>
        <w:t xml:space="preserve"> is </w:t>
      </w:r>
      <w:r>
        <w:rPr>
          <w:rFonts w:hint="eastAsia" w:ascii="Times New Roman" w:hAnsi="Times New Roman" w:cs="Times New Roman"/>
          <w:b w:val="0"/>
          <w:bCs/>
          <w:sz w:val="20"/>
          <w:szCs w:val="20"/>
          <w:lang w:val="en-US" w:eastAsia="zh-CN"/>
        </w:rPr>
        <w:t>in use (</w:t>
      </w:r>
      <w:r>
        <w:rPr>
          <w:rFonts w:hint="eastAsia" w:ascii="Times New Roman" w:hAnsi="Times New Roman" w:eastAsia="等线" w:cs="Times New Roman"/>
          <w:bCs/>
          <w:iCs/>
          <w:sz w:val="20"/>
          <w:szCs w:val="20"/>
          <w:vertAlign w:val="baseline"/>
          <w:lang w:val="en-US" w:eastAsia="zh-CN"/>
        </w:rPr>
        <w:t>i</w:t>
      </w:r>
      <w:r>
        <w:rPr>
          <w:rFonts w:hint="default" w:ascii="Times New Roman" w:hAnsi="Times New Roman" w:eastAsia="等线" w:cs="Times New Roman"/>
          <w:bCs/>
          <w:iCs/>
          <w:sz w:val="20"/>
          <w:szCs w:val="20"/>
          <w:vertAlign w:val="baseline"/>
          <w:lang w:val="en-US" w:eastAsia="zh-CN"/>
        </w:rPr>
        <w:t>nference configuration</w:t>
      </w:r>
      <w:r>
        <w:rPr>
          <w:rFonts w:hint="eastAsia" w:ascii="Times New Roman" w:hAnsi="Times New Roman" w:eastAsia="等线" w:cs="Times New Roman"/>
          <w:bCs/>
          <w:iCs/>
          <w:sz w:val="20"/>
          <w:szCs w:val="20"/>
          <w:vertAlign w:val="baseline"/>
          <w:lang w:val="en-US" w:eastAsia="zh-CN"/>
        </w:rPr>
        <w:t xml:space="preserve"> are not</w:t>
      </w:r>
      <w:r>
        <w:rPr>
          <w:rFonts w:hint="default" w:ascii="Times New Roman" w:hAnsi="Times New Roman" w:eastAsia="等线" w:cs="Times New Roman"/>
          <w:bCs/>
          <w:iCs/>
          <w:sz w:val="20"/>
          <w:szCs w:val="20"/>
          <w:vertAlign w:val="baseline"/>
          <w:lang w:val="en-US" w:eastAsia="zh-CN"/>
        </w:rPr>
        <w:t xml:space="preserve"> signalled in step </w:t>
      </w:r>
      <w:r>
        <w:rPr>
          <w:rFonts w:hint="eastAsia" w:ascii="Times New Roman" w:hAnsi="Times New Roman" w:eastAsia="等线" w:cs="Times New Roman"/>
          <w:bCs/>
          <w:iCs/>
          <w:sz w:val="20"/>
          <w:szCs w:val="20"/>
          <w:vertAlign w:val="baseline"/>
          <w:lang w:val="en-US" w:eastAsia="zh-CN"/>
        </w:rPr>
        <w:t>3</w:t>
      </w:r>
      <w:r>
        <w:rPr>
          <w:rFonts w:hint="eastAsia" w:ascii="Times New Roman" w:hAnsi="Times New Roman" w:cs="Times New Roman"/>
          <w:b w:val="0"/>
          <w:bCs/>
          <w:sz w:val="20"/>
          <w:szCs w:val="20"/>
          <w:lang w:val="en-US" w:eastAsia="zh-CN"/>
        </w:rPr>
        <w:t xml:space="preserve">), UE report the applicable funtionalities in step 4, but these applicable funtionalities are not autonomously activated. After UE receive the </w:t>
      </w:r>
      <w:r>
        <w:rPr>
          <w:rFonts w:hint="eastAsia" w:ascii="Times New Roman" w:hAnsi="Times New Roman" w:eastAsia="等线" w:cs="Times New Roman"/>
          <w:bCs/>
          <w:iCs/>
          <w:sz w:val="20"/>
          <w:szCs w:val="20"/>
          <w:vertAlign w:val="baseline"/>
          <w:lang w:val="en-US" w:eastAsia="zh-CN"/>
        </w:rPr>
        <w:t>i</w:t>
      </w:r>
      <w:r>
        <w:rPr>
          <w:rFonts w:hint="default" w:ascii="Times New Roman" w:hAnsi="Times New Roman" w:eastAsia="等线" w:cs="Times New Roman"/>
          <w:bCs/>
          <w:iCs/>
          <w:sz w:val="20"/>
          <w:szCs w:val="20"/>
          <w:vertAlign w:val="baseline"/>
          <w:lang w:val="en-US" w:eastAsia="zh-CN"/>
        </w:rPr>
        <w:t>nference configuration</w:t>
      </w:r>
      <w:r>
        <w:rPr>
          <w:rFonts w:hint="eastAsia" w:ascii="Times New Roman" w:hAnsi="Times New Roman" w:eastAsia="等线" w:cs="Times New Roman"/>
          <w:bCs/>
          <w:iCs/>
          <w:sz w:val="20"/>
          <w:szCs w:val="20"/>
          <w:vertAlign w:val="baseline"/>
          <w:lang w:val="en-US" w:eastAsia="zh-CN"/>
        </w:rPr>
        <w:t xml:space="preserve"> </w:t>
      </w:r>
      <w:r>
        <w:rPr>
          <w:rFonts w:hint="default" w:ascii="Times New Roman" w:hAnsi="Times New Roman" w:eastAsia="等线" w:cs="Times New Roman"/>
          <w:bCs/>
          <w:iCs/>
          <w:sz w:val="20"/>
          <w:szCs w:val="20"/>
          <w:vertAlign w:val="baseline"/>
          <w:lang w:val="en-US" w:eastAsia="zh-CN"/>
        </w:rPr>
        <w:t xml:space="preserve">signalled in step </w:t>
      </w:r>
      <w:r>
        <w:rPr>
          <w:rFonts w:hint="eastAsia" w:ascii="Times New Roman" w:hAnsi="Times New Roman" w:eastAsia="等线" w:cs="Times New Roman"/>
          <w:bCs/>
          <w:iCs/>
          <w:sz w:val="20"/>
          <w:szCs w:val="20"/>
          <w:vertAlign w:val="baseline"/>
          <w:lang w:val="en-US" w:eastAsia="zh-CN"/>
        </w:rPr>
        <w:t>5, UE start to perform the funtionality activation. In this case, the activation delay can be defined, and the starting point is when UE receive i</w:t>
      </w:r>
      <w:r>
        <w:rPr>
          <w:rFonts w:hint="default" w:ascii="Times New Roman" w:hAnsi="Times New Roman" w:eastAsia="等线" w:cs="Times New Roman"/>
          <w:bCs/>
          <w:iCs/>
          <w:sz w:val="20"/>
          <w:szCs w:val="20"/>
          <w:vertAlign w:val="baseline"/>
          <w:lang w:val="en-US" w:eastAsia="zh-CN"/>
        </w:rPr>
        <w:t>nference configuration</w:t>
      </w:r>
      <w:r>
        <w:rPr>
          <w:rFonts w:hint="eastAsia" w:ascii="Times New Roman" w:hAnsi="Times New Roman" w:eastAsia="等线" w:cs="Times New Roman"/>
          <w:bCs/>
          <w:iCs/>
          <w:sz w:val="20"/>
          <w:szCs w:val="20"/>
          <w:vertAlign w:val="baseline"/>
          <w:lang w:val="en-US" w:eastAsia="zh-CN"/>
        </w:rPr>
        <w:t>, the ending point is when UE report inference results.</w:t>
      </w:r>
      <w:r>
        <w:rPr>
          <w:rFonts w:hint="eastAsia" w:ascii="Times New Roman" w:hAnsi="Times New Roman" w:cs="Times New Roman"/>
          <w:b w:val="0"/>
          <w:bCs/>
          <w:sz w:val="20"/>
          <w:szCs w:val="20"/>
          <w:lang w:val="en-US" w:eastAsia="zh-CN"/>
        </w:rPr>
        <w:t xml:space="preserve"> </w:t>
      </w:r>
    </w:p>
    <w:p w14:paraId="23C305BC">
      <w:pPr>
        <w:spacing w:after="180" w:line="240" w:lineRule="exact"/>
        <w:rPr>
          <w:rFonts w:hint="default" w:ascii="Times New Roman" w:hAnsi="Times New Roman" w:cs="Times New Roman"/>
          <w:b w:val="0"/>
          <w:bCs/>
          <w:sz w:val="20"/>
          <w:szCs w:val="20"/>
          <w:lang w:val="en-US" w:eastAsia="zh-CN"/>
        </w:rPr>
      </w:pPr>
      <w:r>
        <w:rPr>
          <w:rFonts w:hint="default" w:ascii="Times New Roman" w:hAnsi="Times New Roman" w:cs="Times New Roman"/>
          <w:b w:val="0"/>
          <w:bCs/>
          <w:sz w:val="20"/>
          <w:szCs w:val="20"/>
        </w:rPr>
        <w:t>Semi-persistent and aperiodic CSI reporting of applicable functionality is activated following legacy CSI framework</w:t>
      </w:r>
      <w:r>
        <w:rPr>
          <w:rFonts w:hint="eastAsia" w:ascii="Times New Roman" w:hAnsi="Times New Roman" w:cs="Times New Roman"/>
          <w:b w:val="0"/>
          <w:bCs/>
          <w:sz w:val="20"/>
          <w:szCs w:val="20"/>
          <w:lang w:val="en-US" w:eastAsia="zh-CN"/>
        </w:rPr>
        <w:t xml:space="preserve">. For semi-persistent CSI reporting, the applicable functionality is activated </w:t>
      </w:r>
      <w:r>
        <w:rPr>
          <w:rFonts w:hint="default" w:ascii="Times New Roman" w:hAnsi="Times New Roman" w:cs="Times New Roman"/>
          <w:b w:val="0"/>
          <w:bCs/>
          <w:sz w:val="20"/>
          <w:szCs w:val="20"/>
        </w:rPr>
        <w:t>by MAC CE/DCI</w:t>
      </w:r>
      <w:r>
        <w:rPr>
          <w:rFonts w:hint="eastAsia" w:ascii="Times New Roman" w:hAnsi="Times New Roman" w:cs="Times New Roman"/>
          <w:b w:val="0"/>
          <w:bCs/>
          <w:sz w:val="20"/>
          <w:szCs w:val="20"/>
          <w:lang w:val="en-US" w:eastAsia="zh-CN"/>
        </w:rPr>
        <w:t xml:space="preserve">, for aperiodic CSI reporting, the applicable functionality is activated by DCI. For these two cases, </w:t>
      </w:r>
      <w:r>
        <w:rPr>
          <w:rFonts w:hint="eastAsia" w:ascii="Times New Roman" w:hAnsi="Times New Roman" w:eastAsia="等线" w:cs="Times New Roman"/>
          <w:bCs/>
          <w:iCs/>
          <w:sz w:val="20"/>
          <w:szCs w:val="20"/>
          <w:vertAlign w:val="baseline"/>
          <w:lang w:val="en-US" w:eastAsia="zh-CN"/>
        </w:rPr>
        <w:t xml:space="preserve">the activation delay can be defined, and the starting point is </w:t>
      </w:r>
      <w:r>
        <w:rPr>
          <w:rFonts w:hint="eastAsia" w:ascii="Times New Roman" w:hAnsi="Times New Roman" w:eastAsia="等线"/>
          <w:bCs/>
          <w:iCs/>
          <w:sz w:val="20"/>
          <w:szCs w:val="20"/>
          <w:lang w:val="en-US" w:eastAsia="zh-CN"/>
        </w:rPr>
        <w:t xml:space="preserve">the point receiving activation indication by </w:t>
      </w:r>
      <w:r>
        <w:rPr>
          <w:rFonts w:hint="default" w:ascii="Times New Roman" w:hAnsi="Times New Roman" w:cs="Times New Roman"/>
          <w:b w:val="0"/>
          <w:bCs/>
          <w:sz w:val="20"/>
          <w:szCs w:val="20"/>
        </w:rPr>
        <w:t>MAC CE/DCI</w:t>
      </w:r>
      <w:r>
        <w:rPr>
          <w:rFonts w:hint="eastAsia" w:ascii="Times New Roman" w:hAnsi="Times New Roman" w:eastAsia="等线" w:cs="Times New Roman"/>
          <w:bCs/>
          <w:iCs/>
          <w:sz w:val="20"/>
          <w:szCs w:val="20"/>
          <w:vertAlign w:val="baseline"/>
          <w:lang w:val="en-US" w:eastAsia="zh-CN"/>
        </w:rPr>
        <w:t>, the ending point is the point reporting inference results.</w:t>
      </w:r>
    </w:p>
    <w:p w14:paraId="6CA8F5B8">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funtionality activation, it is proposed that</w:t>
      </w:r>
    </w:p>
    <w:p w14:paraId="5E063288">
      <w:pPr>
        <w:numPr>
          <w:ilvl w:val="0"/>
          <w:numId w:val="11"/>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For </w:t>
      </w:r>
      <w:r>
        <w:rPr>
          <w:rFonts w:hint="default" w:ascii="Times New Roman" w:hAnsi="Times New Roman" w:cs="Times New Roman"/>
          <w:b/>
          <w:bCs w:val="0"/>
          <w:i/>
          <w:iCs w:val="0"/>
          <w:sz w:val="20"/>
          <w:szCs w:val="20"/>
        </w:rPr>
        <w:t xml:space="preserve">periodic CSI reporting, </w:t>
      </w:r>
    </w:p>
    <w:p w14:paraId="0E266695">
      <w:pPr>
        <w:numPr>
          <w:ilvl w:val="0"/>
          <w:numId w:val="12"/>
        </w:numPr>
        <w:spacing w:after="180" w:line="240" w:lineRule="exact"/>
        <w:ind w:left="840" w:leftChars="0" w:hanging="420" w:firstLineChars="0"/>
        <w:rPr>
          <w:rFonts w:hint="eastAsia"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 xml:space="preserve">For the case that </w:t>
      </w:r>
      <w:r>
        <w:rPr>
          <w:rFonts w:hint="default" w:ascii="Times New Roman" w:hAnsi="Times New Roman" w:cs="Times New Roman"/>
          <w:b/>
          <w:bCs w:val="0"/>
          <w:i/>
          <w:iCs w:val="0"/>
          <w:sz w:val="20"/>
          <w:szCs w:val="20"/>
        </w:rPr>
        <w:t>option A is configured in Step 3</w:t>
      </w:r>
      <w:r>
        <w:rPr>
          <w:rFonts w:hint="eastAsia" w:ascii="Times New Roman" w:hAnsi="Times New Roman" w:cs="Times New Roman"/>
          <w:b/>
          <w:bCs w:val="0"/>
          <w:i/>
          <w:iCs w:val="0"/>
          <w:sz w:val="20"/>
          <w:szCs w:val="20"/>
          <w:lang w:val="en-US" w:eastAsia="zh-CN"/>
        </w:rPr>
        <w:t xml:space="preserve"> (i.e.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 xml:space="preserve">nference configuration/parameters </w:t>
      </w:r>
      <w:r>
        <w:rPr>
          <w:rFonts w:hint="eastAsia" w:ascii="Times New Roman" w:hAnsi="Times New Roman" w:eastAsia="等线" w:cs="Times New Roman"/>
          <w:b/>
          <w:bCs w:val="0"/>
          <w:i/>
          <w:iCs w:val="0"/>
          <w:sz w:val="20"/>
          <w:szCs w:val="20"/>
          <w:vertAlign w:val="baseline"/>
          <w:lang w:val="en-US" w:eastAsia="zh-CN"/>
        </w:rPr>
        <w:t>are</w:t>
      </w:r>
      <w:r>
        <w:rPr>
          <w:rFonts w:hint="default" w:ascii="Times New Roman" w:hAnsi="Times New Roman" w:eastAsia="等线" w:cs="Times New Roman"/>
          <w:b/>
          <w:bCs w:val="0"/>
          <w:i/>
          <w:iCs w:val="0"/>
          <w:sz w:val="20"/>
          <w:szCs w:val="20"/>
          <w:vertAlign w:val="baseline"/>
          <w:lang w:val="en-US" w:eastAsia="zh-CN"/>
        </w:rPr>
        <w:t xml:space="preserve"> signalled in step 3</w:t>
      </w:r>
      <w:r>
        <w:rPr>
          <w:rFonts w:hint="eastAsia" w:ascii="Times New Roman" w:hAnsi="Times New Roman" w:cs="Times New Roman"/>
          <w:b/>
          <w:bCs w:val="0"/>
          <w:i/>
          <w:iCs w:val="0"/>
          <w:sz w:val="20"/>
          <w:szCs w:val="20"/>
          <w:lang w:val="en-US" w:eastAsia="zh-CN"/>
        </w:rPr>
        <w:t>), no need to define activation delay, since RAN2 agreed that UE autonomously activate the applicable functionalities upon reporting applicable functionalities.</w:t>
      </w:r>
    </w:p>
    <w:p w14:paraId="00A1B365">
      <w:pPr>
        <w:numPr>
          <w:ilvl w:val="0"/>
          <w:numId w:val="12"/>
        </w:numPr>
        <w:spacing w:after="180" w:line="240" w:lineRule="exact"/>
        <w:ind w:left="840" w:leftChars="0" w:hanging="420" w:firstLineChars="0"/>
        <w:rPr>
          <w:rFonts w:hint="eastAsia" w:ascii="Times New Roman" w:hAnsi="Times New Roman" w:eastAsia="等线" w:cs="Times New Roman"/>
          <w:b/>
          <w:bCs w:val="0"/>
          <w:i/>
          <w:iCs w:val="0"/>
          <w:sz w:val="20"/>
          <w:szCs w:val="20"/>
          <w:vertAlign w:val="baseline"/>
          <w:lang w:val="en-US" w:eastAsia="zh-CN"/>
        </w:rPr>
      </w:pPr>
      <w:r>
        <w:rPr>
          <w:rFonts w:hint="eastAsia" w:ascii="Times New Roman" w:hAnsi="Times New Roman" w:cs="Times New Roman"/>
          <w:b/>
          <w:bCs w:val="0"/>
          <w:i/>
          <w:iCs w:val="0"/>
          <w:sz w:val="20"/>
          <w:szCs w:val="20"/>
          <w:lang w:val="en-US" w:eastAsia="zh-CN"/>
        </w:rPr>
        <w:t xml:space="preserve">For the case that </w:t>
      </w:r>
      <w:r>
        <w:rPr>
          <w:rFonts w:hint="default" w:ascii="Times New Roman" w:hAnsi="Times New Roman" w:cs="Times New Roman"/>
          <w:b/>
          <w:bCs w:val="0"/>
          <w:i/>
          <w:iCs w:val="0"/>
          <w:sz w:val="20"/>
          <w:szCs w:val="20"/>
        </w:rPr>
        <w:t xml:space="preserve">option </w:t>
      </w:r>
      <w:r>
        <w:rPr>
          <w:rFonts w:hint="eastAsia" w:ascii="Times New Roman" w:hAnsi="Times New Roman" w:cs="Times New Roman"/>
          <w:b/>
          <w:bCs w:val="0"/>
          <w:i/>
          <w:iCs w:val="0"/>
          <w:sz w:val="20"/>
          <w:szCs w:val="20"/>
          <w:lang w:val="en-US" w:eastAsia="zh-CN"/>
        </w:rPr>
        <w:t>B</w:t>
      </w:r>
      <w:r>
        <w:rPr>
          <w:rFonts w:hint="default" w:ascii="Times New Roman" w:hAnsi="Times New Roman" w:cs="Times New Roman"/>
          <w:b/>
          <w:bCs w:val="0"/>
          <w:i/>
          <w:iCs w:val="0"/>
          <w:sz w:val="20"/>
          <w:szCs w:val="20"/>
        </w:rPr>
        <w:t xml:space="preserve"> is configured in Step 3</w:t>
      </w:r>
      <w:r>
        <w:rPr>
          <w:rFonts w:hint="eastAsia" w:ascii="Times New Roman" w:hAnsi="Times New Roman" w:cs="Times New Roman"/>
          <w:b/>
          <w:bCs w:val="0"/>
          <w:i/>
          <w:iCs w:val="0"/>
          <w:sz w:val="20"/>
          <w:szCs w:val="20"/>
          <w:lang w:val="en-US" w:eastAsia="zh-CN"/>
        </w:rPr>
        <w:t xml:space="preserve"> (i.e.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 xml:space="preserve">nference configuration/parameters </w:t>
      </w:r>
      <w:r>
        <w:rPr>
          <w:rFonts w:hint="eastAsia" w:ascii="Times New Roman" w:hAnsi="Times New Roman" w:eastAsia="等线" w:cs="Times New Roman"/>
          <w:b/>
          <w:bCs w:val="0"/>
          <w:i/>
          <w:iCs w:val="0"/>
          <w:sz w:val="20"/>
          <w:szCs w:val="20"/>
          <w:vertAlign w:val="baseline"/>
          <w:lang w:val="en-US" w:eastAsia="zh-CN"/>
        </w:rPr>
        <w:t>are</w:t>
      </w:r>
      <w:r>
        <w:rPr>
          <w:rFonts w:hint="default" w:ascii="Times New Roman" w:hAnsi="Times New Roman" w:eastAsia="等线" w:cs="Times New Roman"/>
          <w:b/>
          <w:bCs w:val="0"/>
          <w:i/>
          <w:iCs w:val="0"/>
          <w:sz w:val="20"/>
          <w:szCs w:val="20"/>
          <w:vertAlign w:val="baseline"/>
          <w:lang w:val="en-US" w:eastAsia="zh-CN"/>
        </w:rPr>
        <w:t xml:space="preserve"> </w:t>
      </w:r>
      <w:r>
        <w:rPr>
          <w:rFonts w:hint="eastAsia" w:ascii="Times New Roman" w:hAnsi="Times New Roman" w:eastAsia="等线" w:cs="Times New Roman"/>
          <w:b/>
          <w:bCs w:val="0"/>
          <w:i/>
          <w:iCs w:val="0"/>
          <w:sz w:val="20"/>
          <w:szCs w:val="20"/>
          <w:vertAlign w:val="baseline"/>
          <w:lang w:val="en-US" w:eastAsia="zh-CN"/>
        </w:rPr>
        <w:t xml:space="preserve">not </w:t>
      </w:r>
      <w:r>
        <w:rPr>
          <w:rFonts w:hint="default" w:ascii="Times New Roman" w:hAnsi="Times New Roman" w:eastAsia="等线" w:cs="Times New Roman"/>
          <w:b/>
          <w:bCs w:val="0"/>
          <w:i/>
          <w:iCs w:val="0"/>
          <w:sz w:val="20"/>
          <w:szCs w:val="20"/>
          <w:vertAlign w:val="baseline"/>
          <w:lang w:val="en-US" w:eastAsia="zh-CN"/>
        </w:rPr>
        <w:t>signalled in step 3</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nference configuration</w:t>
      </w:r>
      <w:r>
        <w:rPr>
          <w:rFonts w:hint="eastAsia" w:ascii="Times New Roman" w:hAnsi="Times New Roman" w:eastAsia="等线" w:cs="Times New Roman"/>
          <w:b/>
          <w:bCs w:val="0"/>
          <w:i/>
          <w:iCs w:val="0"/>
          <w:sz w:val="20"/>
          <w:szCs w:val="20"/>
          <w:vertAlign w:val="baseline"/>
          <w:lang w:val="en-US" w:eastAsia="zh-CN"/>
        </w:rPr>
        <w:t>.</w:t>
      </w:r>
    </w:p>
    <w:p w14:paraId="1D6C18BE">
      <w:pPr>
        <w:numPr>
          <w:ilvl w:val="0"/>
          <w:numId w:val="11"/>
        </w:numPr>
        <w:spacing w:after="180" w:line="240" w:lineRule="exact"/>
        <w:ind w:left="420" w:leftChars="0" w:hanging="420" w:firstLineChars="0"/>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vertAlign w:val="baseline"/>
          <w:lang w:val="en-US" w:eastAsia="zh-CN"/>
        </w:rPr>
        <w:t>For s</w:t>
      </w:r>
      <w:r>
        <w:rPr>
          <w:rFonts w:hint="default" w:ascii="Times New Roman" w:hAnsi="Times New Roman" w:cs="Times New Roman"/>
          <w:b/>
          <w:bCs w:val="0"/>
          <w:i/>
          <w:iCs w:val="0"/>
          <w:sz w:val="20"/>
          <w:szCs w:val="20"/>
        </w:rPr>
        <w:t>emi-persistent reporting</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activation indication by </w:t>
      </w:r>
      <w:r>
        <w:rPr>
          <w:rFonts w:hint="default" w:ascii="Times New Roman" w:hAnsi="Times New Roman" w:cs="Times New Roman"/>
          <w:b/>
          <w:bCs w:val="0"/>
          <w:i/>
          <w:iCs w:val="0"/>
          <w:sz w:val="20"/>
          <w:szCs w:val="20"/>
        </w:rPr>
        <w:t>MAC CE/DCI</w:t>
      </w:r>
      <w:r>
        <w:rPr>
          <w:rFonts w:hint="eastAsia" w:ascii="Times New Roman" w:hAnsi="Times New Roman" w:cs="Times New Roman"/>
          <w:b/>
          <w:bCs w:val="0"/>
          <w:i/>
          <w:iCs w:val="0"/>
          <w:sz w:val="20"/>
          <w:szCs w:val="20"/>
          <w:lang w:val="en-US" w:eastAsia="zh-CN"/>
        </w:rPr>
        <w:t>.</w:t>
      </w:r>
    </w:p>
    <w:p w14:paraId="6428EFF6">
      <w:pPr>
        <w:numPr>
          <w:ilvl w:val="0"/>
          <w:numId w:val="11"/>
        </w:numPr>
        <w:spacing w:after="180" w:line="240" w:lineRule="exact"/>
        <w:ind w:left="420" w:leftChars="0" w:hanging="420" w:firstLineChars="0"/>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vertAlign w:val="baseline"/>
          <w:lang w:val="en-US" w:eastAsia="zh-CN"/>
        </w:rPr>
        <w:t xml:space="preserve">For </w:t>
      </w:r>
      <w:r>
        <w:rPr>
          <w:rFonts w:hint="default" w:ascii="Times New Roman" w:hAnsi="Times New Roman" w:cs="Times New Roman"/>
          <w:b/>
          <w:bCs w:val="0"/>
          <w:i/>
          <w:iCs w:val="0"/>
          <w:sz w:val="20"/>
          <w:szCs w:val="20"/>
        </w:rPr>
        <w:t>aperiodic CSI reporting</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activation indication by </w:t>
      </w:r>
      <w:r>
        <w:rPr>
          <w:rFonts w:hint="default" w:ascii="Times New Roman" w:hAnsi="Times New Roman" w:cs="Times New Roman"/>
          <w:b/>
          <w:bCs w:val="0"/>
          <w:i/>
          <w:iCs w:val="0"/>
          <w:sz w:val="20"/>
          <w:szCs w:val="20"/>
        </w:rPr>
        <w:t>DCI</w:t>
      </w:r>
      <w:r>
        <w:rPr>
          <w:rFonts w:hint="eastAsia" w:ascii="Times New Roman" w:hAnsi="Times New Roman" w:cs="Times New Roman"/>
          <w:b/>
          <w:bCs w:val="0"/>
          <w:i/>
          <w:iCs w:val="0"/>
          <w:sz w:val="20"/>
          <w:szCs w:val="20"/>
          <w:lang w:val="en-US" w:eastAsia="zh-CN"/>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15E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44284DB">
            <w:pPr>
              <w:rPr>
                <w:rFonts w:hint="default" w:ascii="Times New Roman" w:hAnsi="Times New Roman" w:eastAsia="宋体" w:cs="Times New Roman"/>
                <w:b/>
                <w:bCs/>
                <w:sz w:val="20"/>
                <w:szCs w:val="20"/>
                <w:u w:val="none"/>
                <w:lang w:val="en-US" w:eastAsia="zh-CN"/>
              </w:rPr>
            </w:pPr>
            <w:r>
              <w:rPr>
                <w:rFonts w:hint="default" w:ascii="Times New Roman" w:hAnsi="Times New Roman" w:cs="Times New Roman"/>
                <w:b/>
                <w:bCs/>
                <w:sz w:val="20"/>
                <w:szCs w:val="20"/>
                <w:u w:val="none"/>
              </w:rPr>
              <w:t>Way forward</w:t>
            </w:r>
            <w:r>
              <w:rPr>
                <w:rFonts w:hint="default" w:ascii="Times New Roman" w:hAnsi="Times New Roman" w:cs="Times New Roman"/>
                <w:b/>
                <w:bCs/>
                <w:sz w:val="20"/>
                <w:szCs w:val="20"/>
                <w:u w:val="none"/>
                <w:lang w:val="en-US" w:eastAsia="zh-CN"/>
              </w:rPr>
              <w:t xml:space="preserve"> on p</w:t>
            </w:r>
            <w:r>
              <w:rPr>
                <w:rFonts w:hint="default" w:ascii="Times New Roman" w:hAnsi="Times New Roman" w:cs="Times New Roman"/>
                <w:b/>
                <w:bCs/>
                <w:sz w:val="20"/>
                <w:szCs w:val="20"/>
                <w:u w:val="none"/>
              </w:rPr>
              <w:t>ost-deployment</w:t>
            </w:r>
            <w:r>
              <w:rPr>
                <w:rFonts w:hint="default" w:ascii="Times New Roman" w:hAnsi="Times New Roman" w:cs="Times New Roman"/>
                <w:b/>
                <w:bCs/>
                <w:sz w:val="20"/>
                <w:szCs w:val="20"/>
                <w:u w:val="none"/>
                <w:lang w:val="en-US" w:eastAsia="zh-CN"/>
              </w:rPr>
              <w:t xml:space="preserve"> in RN4#114meeting</w:t>
            </w:r>
          </w:p>
          <w:p w14:paraId="43A72512">
            <w:pPr>
              <w:rPr>
                <w:rFonts w:hint="default" w:ascii="Times New Roman" w:hAnsi="Times New Roman" w:cs="Times New Roman"/>
                <w:sz w:val="20"/>
                <w:szCs w:val="20"/>
              </w:rPr>
            </w:pPr>
            <w:r>
              <w:rPr>
                <w:rFonts w:hint="default" w:ascii="Times New Roman" w:hAnsi="Times New Roman" w:cs="Times New Roman"/>
                <w:sz w:val="20"/>
                <w:szCs w:val="20"/>
              </w:rPr>
              <w:t>The following table presents the description of options 1 and 2 and sub-options as already agreed.</w:t>
            </w:r>
          </w:p>
          <w:p w14:paraId="2C0206BB">
            <w:pPr>
              <w:rPr>
                <w:rFonts w:hint="default" w:ascii="Times New Roman" w:hAnsi="Times New Roman" w:cs="Times New Roman"/>
                <w:sz w:val="20"/>
                <w:szCs w:val="20"/>
              </w:rPr>
            </w:pPr>
            <w:r>
              <w:rPr>
                <w:rFonts w:hint="default" w:ascii="Times New Roman" w:hAnsi="Times New Roman" w:cs="Times New Roman"/>
                <w:sz w:val="20"/>
                <w:szCs w:val="20"/>
              </w:rPr>
              <w:t>A new name for “option 1” and “option 2” is proposed to reduce ambiguity when discussing in the future.</w:t>
            </w:r>
          </w:p>
          <w:p w14:paraId="5F4FF45E">
            <w:pPr>
              <w:rPr>
                <w:rFonts w:hint="default" w:ascii="Times New Roman" w:hAnsi="Times New Roman" w:cs="Times New Roman"/>
                <w:sz w:val="20"/>
                <w:szCs w:val="20"/>
              </w:rPr>
            </w:pPr>
            <w:r>
              <w:rPr>
                <w:rFonts w:hint="default" w:ascii="Times New Roman" w:hAnsi="Times New Roman" w:cs="Times New Roman"/>
                <w:sz w:val="20"/>
                <w:szCs w:val="20"/>
              </w:rPr>
              <w:t>The descriptions of the options are the same as the already agreed description.</w:t>
            </w:r>
          </w:p>
          <w:p w14:paraId="078A25DD">
            <w:pPr>
              <w:rPr>
                <w:rFonts w:hint="default" w:ascii="Times New Roman" w:hAnsi="Times New Roman" w:cs="Times New Roman"/>
                <w:sz w:val="20"/>
                <w:szCs w:val="20"/>
              </w:rPr>
            </w:pPr>
            <w:r>
              <w:rPr>
                <w:rFonts w:hint="default" w:ascii="Times New Roman" w:hAnsi="Times New Roman" w:cs="Times New Roman"/>
                <w:sz w:val="20"/>
                <w:szCs w:val="20"/>
              </w:rPr>
              <w:t>The “further potential clarifications” box captures issues that have been raised that could further clarify the options. It does not represent any agreement on the issues, or that all are relevant, but is intended to stimulate input and discussion to future meetings.</w:t>
            </w:r>
          </w:p>
          <w:p w14:paraId="69B84846">
            <w:pPr>
              <w:rPr>
                <w:rFonts w:hint="default" w:ascii="Times New Roman" w:hAnsi="Times New Roman" w:cs="Times New Roman"/>
                <w:sz w:val="20"/>
                <w:szCs w:val="20"/>
              </w:rPr>
            </w:pPr>
            <w:r>
              <w:rPr>
                <w:rFonts w:hint="default" w:ascii="Times New Roman" w:hAnsi="Times New Roman" w:cs="Times New Roman"/>
                <w:sz w:val="20"/>
                <w:szCs w:val="20"/>
              </w:rPr>
              <w:t>The “significant issues” line is intended to capture issues that have been raised that should be answered in order to make a decision.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3"/>
              <w:gridCol w:w="3331"/>
              <w:gridCol w:w="2931"/>
            </w:tblGrid>
            <w:tr w14:paraId="6E26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39330298">
                  <w:pPr>
                    <w:rPr>
                      <w:rFonts w:hint="default" w:ascii="Times New Roman" w:hAnsi="Times New Roman" w:cs="Times New Roman"/>
                      <w:sz w:val="20"/>
                      <w:szCs w:val="20"/>
                    </w:rPr>
                  </w:pPr>
                </w:p>
              </w:tc>
              <w:tc>
                <w:tcPr>
                  <w:tcW w:w="3486" w:type="dxa"/>
                </w:tcPr>
                <w:p w14:paraId="74F74E2B">
                  <w:pPr>
                    <w:rPr>
                      <w:rFonts w:hint="default" w:ascii="Times New Roman" w:hAnsi="Times New Roman" w:cs="Times New Roman"/>
                      <w:sz w:val="20"/>
                      <w:szCs w:val="20"/>
                    </w:rPr>
                  </w:pPr>
                  <w:r>
                    <w:rPr>
                      <w:rFonts w:hint="default" w:ascii="Times New Roman" w:hAnsi="Times New Roman" w:cs="Times New Roman"/>
                      <w:sz w:val="20"/>
                      <w:szCs w:val="20"/>
                    </w:rPr>
                    <w:t>Option 1</w:t>
                  </w:r>
                </w:p>
              </w:tc>
              <w:tc>
                <w:tcPr>
                  <w:tcW w:w="3486" w:type="dxa"/>
                </w:tcPr>
                <w:p w14:paraId="4E7EB65D">
                  <w:pPr>
                    <w:rPr>
                      <w:rFonts w:hint="default" w:ascii="Times New Roman" w:hAnsi="Times New Roman" w:cs="Times New Roman"/>
                      <w:sz w:val="20"/>
                      <w:szCs w:val="20"/>
                    </w:rPr>
                  </w:pPr>
                  <w:r>
                    <w:rPr>
                      <w:rFonts w:hint="default" w:ascii="Times New Roman" w:hAnsi="Times New Roman" w:cs="Times New Roman"/>
                      <w:sz w:val="20"/>
                      <w:szCs w:val="20"/>
                    </w:rPr>
                    <w:t>Option 2</w:t>
                  </w:r>
                </w:p>
              </w:tc>
            </w:tr>
            <w:tr w14:paraId="14550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267DA24C">
                  <w:pPr>
                    <w:rPr>
                      <w:rFonts w:hint="default" w:ascii="Times New Roman" w:hAnsi="Times New Roman" w:cs="Times New Roman"/>
                      <w:sz w:val="20"/>
                      <w:szCs w:val="20"/>
                    </w:rPr>
                  </w:pPr>
                  <w:r>
                    <w:rPr>
                      <w:rFonts w:hint="default" w:ascii="Times New Roman" w:hAnsi="Times New Roman" w:cs="Times New Roman"/>
                      <w:sz w:val="20"/>
                      <w:szCs w:val="20"/>
                    </w:rPr>
                    <w:t>New name</w:t>
                  </w:r>
                </w:p>
              </w:tc>
              <w:tc>
                <w:tcPr>
                  <w:tcW w:w="3486" w:type="dxa"/>
                </w:tcPr>
                <w:p w14:paraId="3CC8035E">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Pre-activation functionality/model update testing</w:t>
                  </w:r>
                </w:p>
              </w:tc>
              <w:tc>
                <w:tcPr>
                  <w:tcW w:w="3486" w:type="dxa"/>
                </w:tcPr>
                <w:p w14:paraId="60360B1B">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Post deployment management based on LCM</w:t>
                  </w:r>
                </w:p>
              </w:tc>
            </w:tr>
            <w:tr w14:paraId="0C9F8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684297C2">
                  <w:pPr>
                    <w:rPr>
                      <w:rFonts w:hint="default" w:ascii="Times New Roman" w:hAnsi="Times New Roman" w:cs="Times New Roman"/>
                      <w:sz w:val="20"/>
                      <w:szCs w:val="20"/>
                    </w:rPr>
                  </w:pPr>
                  <w:r>
                    <w:rPr>
                      <w:rFonts w:hint="default" w:ascii="Times New Roman" w:hAnsi="Times New Roman" w:cs="Times New Roman"/>
                      <w:sz w:val="20"/>
                      <w:szCs w:val="20"/>
                    </w:rPr>
                    <w:t>Description</w:t>
                  </w:r>
                </w:p>
              </w:tc>
              <w:tc>
                <w:tcPr>
                  <w:tcW w:w="3486" w:type="dxa"/>
                </w:tcPr>
                <w:p w14:paraId="4D2F93A0">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 xml:space="preserve">Conduct the validation of a change in AI functionality before its deployment/activation in already deployed UEs </w:t>
                  </w:r>
                </w:p>
                <w:p w14:paraId="5DC4CF68">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Validation takes into account the UE hardware in which the model is to be deployed/activated.</w:t>
                  </w:r>
                </w:p>
              </w:tc>
              <w:tc>
                <w:tcPr>
                  <w:tcW w:w="3486" w:type="dxa"/>
                </w:tcPr>
                <w:p w14:paraId="7194428F">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Using performance monitoring and LCM procedures</w:t>
                  </w:r>
                </w:p>
                <w:p w14:paraId="5FCA571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Performance monitoring will be designed in other groups</w:t>
                  </w:r>
                </w:p>
                <w:p w14:paraId="6255B221">
                  <w:pPr>
                    <w:rPr>
                      <w:rFonts w:hint="default" w:ascii="Times New Roman" w:hAnsi="Times New Roman" w:cs="Times New Roman"/>
                      <w:sz w:val="20"/>
                      <w:szCs w:val="20"/>
                      <w:lang w:val="en-US"/>
                    </w:rPr>
                  </w:pPr>
                  <w:r>
                    <w:rPr>
                      <w:rFonts w:hint="default" w:ascii="Times New Roman" w:hAnsi="Times New Roman" w:cs="Times New Roman"/>
                      <w:sz w:val="20"/>
                      <w:szCs w:val="20"/>
                      <w:lang w:val="en-US"/>
                    </w:rPr>
                    <w:t>•</w:t>
                  </w:r>
                  <w:r>
                    <w:rPr>
                      <w:rFonts w:hint="default" w:ascii="Times New Roman" w:hAnsi="Times New Roman" w:cs="Times New Roman"/>
                      <w:sz w:val="20"/>
                      <w:szCs w:val="20"/>
                      <w:lang w:val="en-US"/>
                    </w:rPr>
                    <w:tab/>
                  </w:r>
                  <w:r>
                    <w:rPr>
                      <w:rFonts w:hint="default" w:ascii="Times New Roman" w:hAnsi="Times New Roman" w:cs="Times New Roman"/>
                      <w:sz w:val="20"/>
                      <w:szCs w:val="20"/>
                      <w:lang w:val="en-US"/>
                    </w:rPr>
                    <w:t>RAN4 may consider the need and feasibility of requirements and tests to ensure consistency and accuracy of monitoring metrics or other monitoring related data sent from the UE, and set requirements as feasible/needed.</w:t>
                  </w:r>
                </w:p>
              </w:tc>
            </w:tr>
            <w:tr w14:paraId="3BD25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5EB13E14">
                  <w:pPr>
                    <w:rPr>
                      <w:rFonts w:hint="default" w:ascii="Times New Roman" w:hAnsi="Times New Roman" w:cs="Times New Roman"/>
                      <w:sz w:val="20"/>
                      <w:szCs w:val="20"/>
                    </w:rPr>
                  </w:pPr>
                  <w:r>
                    <w:rPr>
                      <w:rFonts w:hint="default" w:ascii="Times New Roman" w:hAnsi="Times New Roman" w:cs="Times New Roman"/>
                      <w:sz w:val="20"/>
                      <w:szCs w:val="20"/>
                    </w:rPr>
                    <w:t>Sub-options</w:t>
                  </w:r>
                </w:p>
              </w:tc>
              <w:tc>
                <w:tcPr>
                  <w:tcW w:w="3486" w:type="dxa"/>
                </w:tcPr>
                <w:p w14:paraId="50A77AAD">
                  <w:pPr>
                    <w:rPr>
                      <w:rFonts w:hint="default" w:ascii="Times New Roman" w:hAnsi="Times New Roman" w:cs="Times New Roman"/>
                      <w:sz w:val="20"/>
                      <w:szCs w:val="20"/>
                    </w:rPr>
                  </w:pPr>
                  <w:r>
                    <w:rPr>
                      <w:rFonts w:hint="default" w:ascii="Times New Roman" w:hAnsi="Times New Roman" w:cs="Times New Roman"/>
                      <w:sz w:val="20"/>
                      <w:szCs w:val="20"/>
                    </w:rPr>
                    <w:t>Possible collection of input data to a model during conformance testing for use later on.</w:t>
                  </w:r>
                </w:p>
              </w:tc>
              <w:tc>
                <w:tcPr>
                  <w:tcW w:w="3486" w:type="dxa"/>
                </w:tcPr>
                <w:p w14:paraId="441A30E3">
                  <w:pPr>
                    <w:rPr>
                      <w:rFonts w:hint="default" w:ascii="Times New Roman" w:hAnsi="Times New Roman" w:cs="Times New Roman"/>
                      <w:sz w:val="20"/>
                      <w:szCs w:val="20"/>
                    </w:rPr>
                  </w:pPr>
                </w:p>
              </w:tc>
            </w:tr>
            <w:tr w14:paraId="644C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10B379C0">
                  <w:pPr>
                    <w:rPr>
                      <w:rFonts w:hint="default" w:ascii="Times New Roman" w:hAnsi="Times New Roman" w:cs="Times New Roman"/>
                      <w:sz w:val="20"/>
                      <w:szCs w:val="20"/>
                    </w:rPr>
                  </w:pPr>
                  <w:r>
                    <w:rPr>
                      <w:rFonts w:hint="default" w:ascii="Times New Roman" w:hAnsi="Times New Roman" w:cs="Times New Roman"/>
                      <w:sz w:val="20"/>
                      <w:szCs w:val="20"/>
                    </w:rPr>
                    <w:t>Further potential clarifications (not resolved)</w:t>
                  </w:r>
                </w:p>
              </w:tc>
              <w:tc>
                <w:tcPr>
                  <w:tcW w:w="3486" w:type="dxa"/>
                </w:tcPr>
                <w:p w14:paraId="03B6EC8F">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1DBF669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the testing of a new model is on a device or in a lab.</w:t>
                  </w:r>
                </w:p>
                <w:p w14:paraId="52D09A08">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models that have been updated post conformancetesting should be kept in a device.</w:t>
                  </w:r>
                </w:p>
                <w:p w14:paraId="27B20E8F">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parallel operating of one model and (in-device) testing of another can be assumed.</w:t>
                  </w:r>
                </w:p>
                <w:p w14:paraId="4B1B11AA">
                  <w:pPr>
                    <w:rPr>
                      <w:rFonts w:hint="default" w:ascii="Times New Roman" w:hAnsi="Times New Roman" w:cs="Times New Roman"/>
                      <w:sz w:val="20"/>
                      <w:szCs w:val="20"/>
                    </w:rPr>
                  </w:pPr>
                  <w:r>
                    <w:rPr>
                      <w:rFonts w:hint="default" w:ascii="Times New Roman" w:hAnsi="Times New Roman" w:cs="Times New Roman"/>
                      <w:sz w:val="20"/>
                      <w:szCs w:val="20"/>
                    </w:rPr>
                    <w:t>o</w:t>
                  </w:r>
                  <w:r>
                    <w:rPr>
                      <w:rFonts w:hint="default" w:ascii="Times New Roman" w:hAnsi="Times New Roman" w:cs="Times New Roman"/>
                      <w:sz w:val="20"/>
                      <w:szCs w:val="20"/>
                    </w:rPr>
                    <w:tab/>
                  </w:r>
                  <w:r>
                    <w:rPr>
                      <w:rFonts w:hint="default" w:ascii="Times New Roman" w:hAnsi="Times New Roman" w:cs="Times New Roman"/>
                      <w:sz w:val="20"/>
                      <w:szCs w:val="20"/>
                    </w:rPr>
                    <w:t>Whether signaling from a UE of changes/updates are needed.</w:t>
                  </w:r>
                </w:p>
                <w:p w14:paraId="1D6EAE72">
                  <w:pPr>
                    <w:pStyle w:val="11"/>
                    <w:numPr>
                      <w:ilvl w:val="0"/>
                      <w:numId w:val="13"/>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there is any relation to GCF procedures.</w:t>
                  </w:r>
                </w:p>
                <w:p w14:paraId="78B7C413">
                  <w:pPr>
                    <w:pStyle w:val="11"/>
                    <w:numPr>
                      <w:ilvl w:val="0"/>
                      <w:numId w:val="13"/>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it is possible to differentiate “major” and “minor” model changes and only apply option 1 to major changes.</w:t>
                  </w:r>
                </w:p>
                <w:p w14:paraId="528927BF">
                  <w:pPr>
                    <w:pStyle w:val="11"/>
                    <w:numPr>
                      <w:ilvl w:val="1"/>
                      <w:numId w:val="13"/>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Definition of Fine-tuning and Model update</w:t>
                  </w:r>
                </w:p>
                <w:p w14:paraId="3470AD4F">
                  <w:pPr>
                    <w:pStyle w:val="11"/>
                    <w:numPr>
                      <w:ilvl w:val="2"/>
                      <w:numId w:val="13"/>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Model update can have a  performance impact.</w:t>
                  </w:r>
                </w:p>
                <w:p w14:paraId="636F53C6">
                  <w:pPr>
                    <w:pStyle w:val="11"/>
                    <w:numPr>
                      <w:ilvl w:val="2"/>
                      <w:numId w:val="13"/>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Fine-tuning might have little performance impact.</w:t>
                  </w:r>
                </w:p>
                <w:p w14:paraId="7967716E">
                  <w:pPr>
                    <w:pStyle w:val="11"/>
                    <w:numPr>
                      <w:ilvl w:val="0"/>
                      <w:numId w:val="13"/>
                    </w:numPr>
                    <w:ind w:firstLineChars="0"/>
                    <w:rPr>
                      <w:rFonts w:hint="default" w:ascii="Times New Roman" w:hAnsi="Times New Roman" w:cs="Times New Roman"/>
                      <w:sz w:val="20"/>
                      <w:szCs w:val="20"/>
                    </w:rPr>
                  </w:pPr>
                  <w:r>
                    <w:rPr>
                      <w:rFonts w:hint="default" w:ascii="Times New Roman" w:hAnsi="Times New Roman" w:cs="Times New Roman" w:eastAsiaTheme="minorEastAsia"/>
                      <w:sz w:val="20"/>
                      <w:szCs w:val="20"/>
                      <w:lang w:eastAsia="ko-KR"/>
                    </w:rPr>
                    <w:t>Hybrid Validation approach</w:t>
                  </w:r>
                </w:p>
                <w:p w14:paraId="50526888">
                  <w:pPr>
                    <w:pStyle w:val="11"/>
                    <w:numPr>
                      <w:ilvl w:val="1"/>
                      <w:numId w:val="13"/>
                    </w:numPr>
                    <w:ind w:firstLineChars="0"/>
                    <w:rPr>
                      <w:rFonts w:hint="default" w:ascii="Times New Roman" w:hAnsi="Times New Roman" w:cs="Times New Roman"/>
                      <w:sz w:val="20"/>
                      <w:szCs w:val="20"/>
                    </w:rPr>
                  </w:pPr>
                  <w:r>
                    <w:rPr>
                      <w:rFonts w:hint="default" w:ascii="Times New Roman" w:hAnsi="Times New Roman" w:cs="Times New Roman"/>
                      <w:sz w:val="20"/>
                      <w:szCs w:val="20"/>
                    </w:rPr>
                    <w:t>A hybrid approach integrating both pre-activation functionality/model update testing (Option 1) and post-deployment management based on LCM (Option 2) aims to provide a balanced validation strategy.</w:t>
                  </w:r>
                </w:p>
              </w:tc>
              <w:tc>
                <w:tcPr>
                  <w:tcW w:w="3486" w:type="dxa"/>
                </w:tcPr>
                <w:p w14:paraId="31BEE4C8">
                  <w:pPr>
                    <w:rPr>
                      <w:rFonts w:hint="default" w:ascii="Times New Roman" w:hAnsi="Times New Roman" w:cs="Times New Roman"/>
                      <w:sz w:val="20"/>
                      <w:szCs w:val="20"/>
                    </w:rPr>
                  </w:pPr>
                  <w:r>
                    <w:rPr>
                      <w:rFonts w:hint="default" w:ascii="Times New Roman" w:hAnsi="Times New Roman" w:cs="Times New Roman"/>
                      <w:sz w:val="20"/>
                      <w:szCs w:val="20"/>
                    </w:rPr>
                    <w:t xml:space="preserve">The following proposals have been made for option 1 but not discussed. </w:t>
                  </w:r>
                </w:p>
                <w:p w14:paraId="59571DFE">
                  <w:pPr>
                    <w:pStyle w:val="11"/>
                    <w:numPr>
                      <w:ilvl w:val="0"/>
                      <w:numId w:val="13"/>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the metric used for performance testing and the metric used for monitoring can be aligned.</w:t>
                  </w:r>
                </w:p>
                <w:p w14:paraId="04810293">
                  <w:pPr>
                    <w:pStyle w:val="11"/>
                    <w:numPr>
                      <w:ilvl w:val="0"/>
                      <w:numId w:val="13"/>
                    </w:numPr>
                    <w:ind w:firstLineChars="0"/>
                    <w:rPr>
                      <w:rFonts w:hint="default" w:ascii="Times New Roman" w:hAnsi="Times New Roman" w:cs="Times New Roman"/>
                      <w:sz w:val="20"/>
                      <w:szCs w:val="20"/>
                    </w:rPr>
                  </w:pPr>
                  <w:r>
                    <w:rPr>
                      <w:rFonts w:hint="default" w:ascii="Times New Roman" w:hAnsi="Times New Roman" w:cs="Times New Roman"/>
                      <w:sz w:val="20"/>
                      <w:szCs w:val="20"/>
                    </w:rPr>
                    <w:t>Whether monitoring used for post-deployment testing should be NW sided only.</w:t>
                  </w:r>
                </w:p>
              </w:tc>
            </w:tr>
            <w:tr w14:paraId="6F67E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650CE352">
                  <w:pPr>
                    <w:rPr>
                      <w:rFonts w:hint="default" w:ascii="Times New Roman" w:hAnsi="Times New Roman" w:cs="Times New Roman"/>
                      <w:sz w:val="20"/>
                      <w:szCs w:val="20"/>
                    </w:rPr>
                  </w:pPr>
                  <w:r>
                    <w:rPr>
                      <w:rFonts w:hint="default" w:ascii="Times New Roman" w:hAnsi="Times New Roman" w:cs="Times New Roman"/>
                      <w:sz w:val="20"/>
                      <w:szCs w:val="20"/>
                    </w:rPr>
                    <w:t>Significant issues</w:t>
                  </w:r>
                </w:p>
              </w:tc>
              <w:tc>
                <w:tcPr>
                  <w:tcW w:w="3486" w:type="dxa"/>
                </w:tcPr>
                <w:p w14:paraId="3A79B202">
                  <w:pPr>
                    <w:rPr>
                      <w:rFonts w:hint="default" w:ascii="Times New Roman" w:hAnsi="Times New Roman" w:cs="Times New Roman"/>
                      <w:sz w:val="20"/>
                      <w:szCs w:val="20"/>
                    </w:rPr>
                  </w:pPr>
                  <w:r>
                    <w:rPr>
                      <w:rFonts w:hint="default" w:ascii="Times New Roman" w:hAnsi="Times New Roman" w:cs="Times New Roman"/>
                      <w:sz w:val="20"/>
                      <w:szCs w:val="20"/>
                    </w:rPr>
                    <w:t>Whether the option is reasonable or would cause too much complexity and test time burden when introducing updates.</w:t>
                  </w:r>
                </w:p>
              </w:tc>
              <w:tc>
                <w:tcPr>
                  <w:tcW w:w="3486" w:type="dxa"/>
                </w:tcPr>
                <w:p w14:paraId="092B07B1">
                  <w:pPr>
                    <w:rPr>
                      <w:rFonts w:hint="default" w:ascii="Times New Roman" w:hAnsi="Times New Roman" w:cs="Times New Roman"/>
                      <w:sz w:val="20"/>
                      <w:szCs w:val="20"/>
                    </w:rPr>
                  </w:pPr>
                  <w:r>
                    <w:rPr>
                      <w:rFonts w:hint="default" w:ascii="Times New Roman" w:hAnsi="Times New Roman" w:cs="Times New Roman"/>
                      <w:sz w:val="20"/>
                      <w:szCs w:val="20"/>
                    </w:rPr>
                    <w:t>Whether LCM monitoring can actually unambiguously identify individual model performance with reasonable complexity (considering other variations due to e.g. channel, interference, scheduling, other AI models etc.)</w:t>
                  </w:r>
                </w:p>
                <w:p w14:paraId="28BC4C73">
                  <w:pPr>
                    <w:rPr>
                      <w:rFonts w:hint="default" w:ascii="Times New Roman" w:hAnsi="Times New Roman" w:cs="Times New Roman"/>
                      <w:sz w:val="20"/>
                      <w:szCs w:val="20"/>
                    </w:rPr>
                  </w:pPr>
                  <w:r>
                    <w:rPr>
                      <w:rFonts w:hint="default" w:ascii="Times New Roman" w:hAnsi="Times New Roman" w:cs="Times New Roman"/>
                      <w:sz w:val="20"/>
                      <w:szCs w:val="20"/>
                    </w:rPr>
                    <w:t>Whether LCM monitoring can have RAN4 requirements to ensure consistent monitoring between different UEs.</w:t>
                  </w:r>
                </w:p>
                <w:p w14:paraId="06FED6B1">
                  <w:pPr>
                    <w:rPr>
                      <w:rFonts w:hint="default" w:ascii="Times New Roman" w:hAnsi="Times New Roman" w:cs="Times New Roman"/>
                      <w:sz w:val="20"/>
                      <w:szCs w:val="20"/>
                    </w:rPr>
                  </w:pPr>
                </w:p>
                <w:p w14:paraId="69AEBBCF">
                  <w:pPr>
                    <w:rPr>
                      <w:rFonts w:hint="default" w:ascii="Times New Roman" w:hAnsi="Times New Roman" w:cs="Times New Roman"/>
                      <w:sz w:val="20"/>
                      <w:szCs w:val="20"/>
                    </w:rPr>
                  </w:pPr>
                </w:p>
              </w:tc>
            </w:tr>
            <w:tr w14:paraId="52480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5" w:type="dxa"/>
                </w:tcPr>
                <w:p w14:paraId="7F0FC801">
                  <w:pPr>
                    <w:rPr>
                      <w:rFonts w:hint="default" w:ascii="Times New Roman" w:hAnsi="Times New Roman" w:cs="Times New Roman" w:eastAsiaTheme="minorEastAsia"/>
                      <w:sz w:val="20"/>
                      <w:szCs w:val="20"/>
                      <w:lang w:eastAsia="ko-KR"/>
                    </w:rPr>
                  </w:pPr>
                </w:p>
              </w:tc>
              <w:tc>
                <w:tcPr>
                  <w:tcW w:w="3486" w:type="dxa"/>
                </w:tcPr>
                <w:p w14:paraId="1B78CE45">
                  <w:pPr>
                    <w:rPr>
                      <w:rFonts w:hint="default" w:ascii="Times New Roman" w:hAnsi="Times New Roman" w:cs="Times New Roman"/>
                      <w:sz w:val="20"/>
                      <w:szCs w:val="20"/>
                    </w:rPr>
                  </w:pPr>
                </w:p>
              </w:tc>
              <w:tc>
                <w:tcPr>
                  <w:tcW w:w="3486" w:type="dxa"/>
                </w:tcPr>
                <w:p w14:paraId="048DE2F2">
                  <w:pPr>
                    <w:rPr>
                      <w:rFonts w:hint="default" w:ascii="Times New Roman" w:hAnsi="Times New Roman" w:cs="Times New Roman"/>
                      <w:sz w:val="20"/>
                      <w:szCs w:val="20"/>
                    </w:rPr>
                  </w:pPr>
                </w:p>
              </w:tc>
            </w:tr>
          </w:tbl>
          <w:p w14:paraId="362FDBFF">
            <w:pPr>
              <w:spacing w:after="180" w:line="240" w:lineRule="exact"/>
              <w:rPr>
                <w:rFonts w:hint="default" w:ascii="Times New Roman" w:hAnsi="Times New Roman" w:cs="Times New Roman"/>
                <w:b w:val="0"/>
                <w:bCs/>
                <w:sz w:val="20"/>
                <w:szCs w:val="20"/>
                <w:vertAlign w:val="baseline"/>
                <w:lang w:val="en-US" w:eastAsia="zh-CN"/>
              </w:rPr>
            </w:pPr>
          </w:p>
          <w:p w14:paraId="1B7278FE">
            <w:pPr>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Agreements in RAN4#114bis meeting:</w:t>
            </w:r>
          </w:p>
          <w:p w14:paraId="11985CCD">
            <w:pPr>
              <w:pStyle w:val="11"/>
              <w:numPr>
                <w:ilvl w:val="0"/>
                <w:numId w:val="9"/>
              </w:numPr>
              <w:ind w:firstLineChars="0"/>
              <w:rPr>
                <w:rFonts w:hint="default" w:ascii="Times New Roman" w:hAnsi="Times New Roman" w:cs="Times New Roman"/>
                <w:sz w:val="20"/>
                <w:szCs w:val="20"/>
              </w:rPr>
            </w:pPr>
            <w:r>
              <w:rPr>
                <w:rFonts w:hint="default" w:ascii="Times New Roman" w:hAnsi="Times New Roman" w:cs="Times New Roman"/>
                <w:sz w:val="20"/>
                <w:szCs w:val="20"/>
              </w:rPr>
              <w:t xml:space="preserve">Rename “option 1” as “Post-deployment pre-activation functionality/configuration update testing” </w:t>
            </w:r>
          </w:p>
          <w:p w14:paraId="49442A09">
            <w:pPr>
              <w:pStyle w:val="11"/>
              <w:numPr>
                <w:ilvl w:val="0"/>
                <w:numId w:val="9"/>
              </w:numPr>
              <w:ind w:firstLineChars="0"/>
              <w:rPr>
                <w:rFonts w:hint="default" w:ascii="Times New Roman" w:hAnsi="Times New Roman" w:cs="Times New Roman"/>
                <w:b w:val="0"/>
                <w:bCs/>
                <w:sz w:val="20"/>
                <w:szCs w:val="20"/>
                <w:vertAlign w:val="baseline"/>
                <w:lang w:val="en-US" w:eastAsia="zh-CN"/>
              </w:rPr>
            </w:pPr>
            <w:r>
              <w:rPr>
                <w:rFonts w:hint="default" w:ascii="Times New Roman" w:hAnsi="Times New Roman" w:cs="Times New Roman"/>
                <w:sz w:val="20"/>
                <w:szCs w:val="20"/>
              </w:rPr>
              <w:t>Rename “option 2” as “Post-deployment post-activation functionality testing based on performance monitoring”</w:t>
            </w:r>
          </w:p>
        </w:tc>
      </w:tr>
    </w:tbl>
    <w:p w14:paraId="459F030F">
      <w:pPr>
        <w:spacing w:after="180" w:line="240" w:lineRule="exact"/>
        <w:rPr>
          <w:rFonts w:hint="eastAsia" w:ascii="Times New Roman" w:hAnsi="Times New Roman" w:cs="Times New Roman"/>
          <w:b w:val="0"/>
          <w:bCs/>
          <w:sz w:val="20"/>
          <w:szCs w:val="20"/>
          <w:lang w:val="en-US" w:eastAsia="zh-CN"/>
        </w:rPr>
      </w:pPr>
    </w:p>
    <w:p w14:paraId="72A87EED">
      <w:pPr>
        <w:spacing w:after="180" w:line="240" w:lineRule="exact"/>
        <w:rPr>
          <w:rFonts w:hint="eastAsia"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For post-deployment, according to the discussion in previous meetings, for option 1 (</w:t>
      </w:r>
      <w:r>
        <w:rPr>
          <w:rFonts w:hint="default" w:ascii="Times New Roman" w:hAnsi="Times New Roman" w:cs="Times New Roman"/>
          <w:sz w:val="20"/>
          <w:szCs w:val="20"/>
        </w:rPr>
        <w:t>Post-deployment pre-activation functionality/configuration update testing</w:t>
      </w:r>
      <w:r>
        <w:rPr>
          <w:rFonts w:hint="eastAsia" w:ascii="Times New Roman" w:hAnsi="Times New Roman" w:cs="Times New Roman"/>
          <w:b w:val="0"/>
          <w:bCs/>
          <w:sz w:val="20"/>
          <w:szCs w:val="20"/>
          <w:lang w:val="en-US" w:eastAsia="zh-CN"/>
        </w:rPr>
        <w:t>), one of the further potential clarifications (not resolved) is whether there is any relation to GCF procedures. Our views is provided as following.</w:t>
      </w:r>
    </w:p>
    <w:p w14:paraId="2BDD4719">
      <w:pPr>
        <w:bidi w:val="0"/>
        <w:jc w:val="center"/>
        <w:rPr>
          <w:rFonts w:hint="eastAsia" w:ascii="Times New Roman" w:hAnsi="Times New Roman" w:cs="Times New Roman"/>
          <w:b w:val="0"/>
          <w:bCs/>
          <w:sz w:val="20"/>
          <w:szCs w:val="20"/>
          <w:lang w:val="en-US" w:eastAsia="zh-CN"/>
        </w:rPr>
      </w:pPr>
      <w:r>
        <w:object>
          <v:shape id="_x0000_i1026" o:spt="75" type="#_x0000_t75" style="height:308.25pt;width:415.25pt;" o:ole="t" filled="f" o:preferrelative="t" stroked="f" coordsize="21600,21600">
            <v:path/>
            <v:fill on="f" focussize="0,0"/>
            <v:stroke on="f"/>
            <v:imagedata r:id="rId7" o:title=""/>
            <o:lock v:ext="edit" aspectratio="f"/>
            <w10:wrap type="none"/>
            <w10:anchorlock/>
          </v:shape>
          <o:OLEObject Type="Embed" ProgID="Visio.Drawing.11" ShapeID="_x0000_i1026" DrawAspect="Content" ObjectID="_1468075726" r:id="rId6">
            <o:LockedField>false</o:LockedField>
          </o:OLEObject>
        </w:object>
      </w:r>
    </w:p>
    <w:p w14:paraId="636CC58D">
      <w:pPr>
        <w:spacing w:after="180" w:line="240" w:lineRule="exact"/>
        <w:rPr>
          <w:rFonts w:hint="default" w:ascii="Times New Roman" w:hAnsi="Times New Roman" w:cs="Times New Roman"/>
          <w:b w:val="0"/>
          <w:bCs/>
          <w:sz w:val="20"/>
          <w:szCs w:val="20"/>
          <w:lang w:val="en-US" w:eastAsia="zh-CN"/>
        </w:rPr>
      </w:pPr>
    </w:p>
    <w:p w14:paraId="00284EC3">
      <w:pPr>
        <w:numPr>
          <w:ilvl w:val="0"/>
          <w:numId w:val="0"/>
        </w:numPr>
        <w:spacing w:after="180" w:line="240" w:lineRule="exact"/>
        <w:ind w:leftChars="0"/>
        <w:jc w:val="center"/>
        <w:rPr>
          <w:rFonts w:hint="default" w:ascii="Times New Roman" w:hAnsi="Times New Roman" w:eastAsia="等线"/>
          <w:bCs/>
          <w:iCs/>
          <w:sz w:val="20"/>
          <w:szCs w:val="20"/>
          <w:lang w:val="en-US" w:eastAsia="zh-CN"/>
        </w:rPr>
      </w:pPr>
      <w:r>
        <w:rPr>
          <w:rFonts w:hint="eastAsia" w:ascii="Times New Roman" w:hAnsi="Times New Roman" w:cs="Times New Roman"/>
          <w:b w:val="0"/>
          <w:bCs/>
          <w:sz w:val="20"/>
          <w:szCs w:val="20"/>
          <w:lang w:val="en-US" w:eastAsia="zh-CN"/>
        </w:rPr>
        <w:t xml:space="preserve">Figure 1: certification procedures for the scenario that </w:t>
      </w:r>
      <w:r>
        <w:rPr>
          <w:rFonts w:hint="eastAsia" w:ascii="Times New Roman" w:hAnsi="Times New Roman" w:eastAsia="等线"/>
          <w:bCs/>
          <w:iCs/>
          <w:sz w:val="20"/>
          <w:szCs w:val="20"/>
          <w:lang w:val="en-US" w:eastAsia="zh-CN"/>
        </w:rPr>
        <w:t>t</w:t>
      </w:r>
      <w:r>
        <w:rPr>
          <w:rFonts w:hint="default" w:ascii="Times New Roman" w:hAnsi="Times New Roman" w:eastAsia="等线"/>
          <w:bCs/>
          <w:iCs/>
          <w:sz w:val="20"/>
          <w:szCs w:val="20"/>
          <w:lang w:val="en-US" w:eastAsia="zh-CN"/>
        </w:rPr>
        <w:t>he UE already supports AI functionality/features when it is certified, and the certified UE is subsequently modified with updated AI models which enable the certified UE with new functionality/features</w:t>
      </w:r>
    </w:p>
    <w:p w14:paraId="0428A3B7">
      <w:pPr>
        <w:spacing w:after="180" w:line="240" w:lineRule="exact"/>
        <w:rPr>
          <w:rFonts w:hint="default" w:ascii="Times New Roman" w:hAnsi="Times New Roman" w:cs="Times New Roman"/>
          <w:b w:val="0"/>
          <w:bCs/>
          <w:sz w:val="20"/>
          <w:szCs w:val="20"/>
          <w:lang w:val="en-US" w:eastAsia="zh-CN"/>
        </w:rPr>
      </w:pPr>
    </w:p>
    <w:p w14:paraId="296C3FF4">
      <w:pPr>
        <w:bidi w:val="0"/>
        <w:jc w:val="center"/>
        <w:rPr>
          <w:rFonts w:hint="default" w:ascii="Times New Roman" w:hAnsi="Times New Roman" w:cs="Times New Roman"/>
          <w:b w:val="0"/>
          <w:bCs/>
          <w:sz w:val="20"/>
          <w:szCs w:val="20"/>
          <w:lang w:val="en-US" w:eastAsia="zh-CN"/>
        </w:rPr>
      </w:pPr>
      <w:r>
        <w:object>
          <v:shape id="_x0000_i1027" o:spt="75" type="#_x0000_t75" style="height:335.85pt;width:258.55pt;" o:ole="t" filled="f" o:preferrelative="t" stroked="f" coordsize="21600,21600">
            <v:path/>
            <v:fill on="f" focussize="0,0"/>
            <v:stroke on="f"/>
            <v:imagedata r:id="rId9" o:title=""/>
            <o:lock v:ext="edit" aspectratio="f"/>
            <w10:wrap type="none"/>
            <w10:anchorlock/>
          </v:shape>
          <o:OLEObject Type="Embed" ProgID="Visio.Drawing.11" ShapeID="_x0000_i1027" DrawAspect="Content" ObjectID="_1468075727" r:id="rId8">
            <o:LockedField>false</o:LockedField>
          </o:OLEObject>
        </w:object>
      </w:r>
    </w:p>
    <w:p w14:paraId="2C94ED64">
      <w:pPr>
        <w:numPr>
          <w:ilvl w:val="0"/>
          <w:numId w:val="0"/>
        </w:numPr>
        <w:spacing w:after="180" w:line="240" w:lineRule="exact"/>
        <w:ind w:leftChars="0"/>
        <w:jc w:val="center"/>
        <w:rPr>
          <w:rFonts w:hint="default"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 xml:space="preserve">Figure 2: certification procedures for the scenario that </w:t>
      </w:r>
      <w:r>
        <w:rPr>
          <w:rFonts w:hint="eastAsia" w:ascii="Times New Roman" w:hAnsi="Times New Roman" w:eastAsia="等线"/>
          <w:bCs/>
          <w:iCs/>
          <w:sz w:val="20"/>
          <w:szCs w:val="20"/>
          <w:lang w:val="en-US" w:eastAsia="zh-CN"/>
        </w:rPr>
        <w:t>t</w:t>
      </w:r>
      <w:r>
        <w:rPr>
          <w:rFonts w:hint="default" w:ascii="Times New Roman" w:hAnsi="Times New Roman" w:eastAsia="等线"/>
          <w:bCs/>
          <w:iCs/>
          <w:sz w:val="20"/>
          <w:szCs w:val="20"/>
          <w:lang w:val="en-US" w:eastAsia="zh-CN"/>
        </w:rPr>
        <w:t>he UE does not support AI functionality/features when it is certified, and the certified UE is subsequently modified with addition of AI functionality/features</w:t>
      </w:r>
    </w:p>
    <w:p w14:paraId="0B4B2AE1">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4: for post-deployment, for the clarification about whether there is any relation to GCF procedures, the possible related certification procedures are provided as above Figure 1 and Figure 2.</w:t>
      </w:r>
    </w:p>
    <w:p w14:paraId="57FC9962">
      <w:pPr>
        <w:spacing w:after="180" w:line="240" w:lineRule="exact"/>
        <w:rPr>
          <w:rFonts w:hint="default" w:ascii="Times New Roman" w:hAnsi="Times New Roman" w:cs="Times New Roman"/>
          <w:b w:val="0"/>
          <w:b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 for study on Artificial Intelligence (AI)/Machine Learning (ML) for NR air interface Phase 2</w:t>
      </w:r>
      <w:r>
        <w:rPr>
          <w:rFonts w:hint="eastAsia" w:ascii="Times New Roman" w:hAnsi="Times New Roman"/>
          <w:sz w:val="20"/>
          <w:szCs w:val="20"/>
        </w:rPr>
        <w:t>. The proposals are:</w:t>
      </w:r>
    </w:p>
    <w:p w14:paraId="6D8CFC3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RAN4 requirements are specified at least based on functionality (funtionality refer to AI/ML-enabled Feature/FG)   </w:t>
      </w:r>
    </w:p>
    <w:p w14:paraId="0E272C0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that </w:t>
      </w:r>
      <w:r>
        <w:rPr>
          <w:rFonts w:hint="default" w:ascii="Times New Roman" w:hAnsi="Times New Roman" w:cs="Times New Roman"/>
          <w:b/>
          <w:bCs w:val="0"/>
          <w:i/>
          <w:iCs w:val="0"/>
          <w:sz w:val="20"/>
          <w:szCs w:val="20"/>
        </w:rPr>
        <w:t xml:space="preserve">different configurations/parameters are </w:t>
      </w:r>
      <w:r>
        <w:rPr>
          <w:rFonts w:hint="eastAsia" w:ascii="Times New Roman" w:hAnsi="Times New Roman" w:cs="Times New Roman"/>
          <w:b/>
          <w:bCs w:val="0"/>
          <w:i/>
          <w:iCs w:val="0"/>
          <w:sz w:val="20"/>
          <w:szCs w:val="20"/>
          <w:lang w:val="en-US" w:eastAsia="zh-CN"/>
        </w:rPr>
        <w:t>considered</w:t>
      </w:r>
      <w:r>
        <w:rPr>
          <w:rFonts w:hint="default" w:ascii="Times New Roman" w:hAnsi="Times New Roman" w:cs="Times New Roman"/>
          <w:b/>
          <w:bCs w:val="0"/>
          <w:i/>
          <w:iCs w:val="0"/>
          <w:sz w:val="20"/>
          <w:szCs w:val="20"/>
        </w:rPr>
        <w:t xml:space="preserve"> for </w:t>
      </w:r>
      <w:r>
        <w:rPr>
          <w:rFonts w:hint="eastAsia" w:ascii="Times New Roman" w:hAnsi="Times New Roman" w:cs="Times New Roman"/>
          <w:b/>
          <w:bCs w:val="0"/>
          <w:i/>
          <w:iCs w:val="0"/>
          <w:sz w:val="20"/>
          <w:szCs w:val="20"/>
          <w:lang w:val="en-US" w:eastAsia="zh-CN"/>
        </w:rPr>
        <w:t>requirements/tests definition.</w:t>
      </w:r>
    </w:p>
    <w:p w14:paraId="279D110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funtionality activation, it is proposed that</w:t>
      </w:r>
    </w:p>
    <w:p w14:paraId="0C34C0C6">
      <w:pPr>
        <w:numPr>
          <w:ilvl w:val="0"/>
          <w:numId w:val="11"/>
        </w:numPr>
        <w:spacing w:after="180" w:line="240" w:lineRule="exact"/>
        <w:ind w:left="420" w:leftChars="0" w:hanging="420" w:firstLineChars="0"/>
        <w:rPr>
          <w:rFonts w:hint="default" w:ascii="Times New Roman" w:hAnsi="Times New Roman" w:cs="Times New Roman"/>
          <w:b/>
          <w:bCs w:val="0"/>
          <w:i/>
          <w:iCs w:val="0"/>
          <w:sz w:val="20"/>
          <w:szCs w:val="20"/>
        </w:rPr>
      </w:pPr>
      <w:r>
        <w:rPr>
          <w:rFonts w:hint="eastAsia" w:ascii="Times New Roman" w:hAnsi="Times New Roman" w:eastAsia="等线"/>
          <w:b/>
          <w:bCs w:val="0"/>
          <w:i/>
          <w:iCs w:val="0"/>
          <w:sz w:val="20"/>
          <w:szCs w:val="20"/>
          <w:lang w:val="en-US" w:eastAsia="zh-CN"/>
        </w:rPr>
        <w:t xml:space="preserve">For </w:t>
      </w:r>
      <w:r>
        <w:rPr>
          <w:rFonts w:hint="default" w:ascii="Times New Roman" w:hAnsi="Times New Roman" w:cs="Times New Roman"/>
          <w:b/>
          <w:bCs w:val="0"/>
          <w:i/>
          <w:iCs w:val="0"/>
          <w:sz w:val="20"/>
          <w:szCs w:val="20"/>
        </w:rPr>
        <w:t xml:space="preserve">periodic CSI reporting, </w:t>
      </w:r>
    </w:p>
    <w:p w14:paraId="044285D6">
      <w:pPr>
        <w:numPr>
          <w:ilvl w:val="0"/>
          <w:numId w:val="12"/>
        </w:numPr>
        <w:spacing w:after="180" w:line="240" w:lineRule="exact"/>
        <w:ind w:left="840" w:leftChars="0" w:hanging="420" w:firstLineChars="0"/>
        <w:rPr>
          <w:rFonts w:hint="eastAsia" w:ascii="Times New Roman" w:hAnsi="Times New Roman" w:cs="Times New Roman"/>
          <w:b/>
          <w:bCs w:val="0"/>
          <w:i/>
          <w:iCs w:val="0"/>
          <w:sz w:val="20"/>
          <w:szCs w:val="20"/>
          <w:lang w:val="en-US" w:eastAsia="zh-CN"/>
        </w:rPr>
      </w:pPr>
      <w:r>
        <w:rPr>
          <w:rFonts w:hint="eastAsia" w:ascii="Times New Roman" w:hAnsi="Times New Roman" w:cs="Times New Roman"/>
          <w:b/>
          <w:bCs w:val="0"/>
          <w:i/>
          <w:iCs w:val="0"/>
          <w:sz w:val="20"/>
          <w:szCs w:val="20"/>
          <w:lang w:val="en-US" w:eastAsia="zh-CN"/>
        </w:rPr>
        <w:t xml:space="preserve">For the case that </w:t>
      </w:r>
      <w:r>
        <w:rPr>
          <w:rFonts w:hint="default" w:ascii="Times New Roman" w:hAnsi="Times New Roman" w:cs="Times New Roman"/>
          <w:b/>
          <w:bCs w:val="0"/>
          <w:i/>
          <w:iCs w:val="0"/>
          <w:sz w:val="20"/>
          <w:szCs w:val="20"/>
        </w:rPr>
        <w:t>option A is configured in Step 3</w:t>
      </w:r>
      <w:r>
        <w:rPr>
          <w:rFonts w:hint="eastAsia" w:ascii="Times New Roman" w:hAnsi="Times New Roman" w:cs="Times New Roman"/>
          <w:b/>
          <w:bCs w:val="0"/>
          <w:i/>
          <w:iCs w:val="0"/>
          <w:sz w:val="20"/>
          <w:szCs w:val="20"/>
          <w:lang w:val="en-US" w:eastAsia="zh-CN"/>
        </w:rPr>
        <w:t xml:space="preserve"> (i.e.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 xml:space="preserve">nference configuration/parameters </w:t>
      </w:r>
      <w:r>
        <w:rPr>
          <w:rFonts w:hint="eastAsia" w:ascii="Times New Roman" w:hAnsi="Times New Roman" w:eastAsia="等线" w:cs="Times New Roman"/>
          <w:b/>
          <w:bCs w:val="0"/>
          <w:i/>
          <w:iCs w:val="0"/>
          <w:sz w:val="20"/>
          <w:szCs w:val="20"/>
          <w:vertAlign w:val="baseline"/>
          <w:lang w:val="en-US" w:eastAsia="zh-CN"/>
        </w:rPr>
        <w:t>are</w:t>
      </w:r>
      <w:r>
        <w:rPr>
          <w:rFonts w:hint="default" w:ascii="Times New Roman" w:hAnsi="Times New Roman" w:eastAsia="等线" w:cs="Times New Roman"/>
          <w:b/>
          <w:bCs w:val="0"/>
          <w:i/>
          <w:iCs w:val="0"/>
          <w:sz w:val="20"/>
          <w:szCs w:val="20"/>
          <w:vertAlign w:val="baseline"/>
          <w:lang w:val="en-US" w:eastAsia="zh-CN"/>
        </w:rPr>
        <w:t xml:space="preserve"> signalled in step 3</w:t>
      </w:r>
      <w:r>
        <w:rPr>
          <w:rFonts w:hint="eastAsia" w:ascii="Times New Roman" w:hAnsi="Times New Roman" w:cs="Times New Roman"/>
          <w:b/>
          <w:bCs w:val="0"/>
          <w:i/>
          <w:iCs w:val="0"/>
          <w:sz w:val="20"/>
          <w:szCs w:val="20"/>
          <w:lang w:val="en-US" w:eastAsia="zh-CN"/>
        </w:rPr>
        <w:t>), no need to define activation delay, since RAN2 agreed that UE autonomously activate the applicable functionalities upon reporting applicable functionalities.</w:t>
      </w:r>
    </w:p>
    <w:p w14:paraId="64C130ED">
      <w:pPr>
        <w:numPr>
          <w:ilvl w:val="0"/>
          <w:numId w:val="12"/>
        </w:numPr>
        <w:spacing w:after="180" w:line="240" w:lineRule="exact"/>
        <w:ind w:left="840" w:leftChars="0" w:hanging="420" w:firstLineChars="0"/>
        <w:rPr>
          <w:rFonts w:hint="eastAsia" w:ascii="Times New Roman" w:hAnsi="Times New Roman" w:eastAsia="等线" w:cs="Times New Roman"/>
          <w:b/>
          <w:bCs w:val="0"/>
          <w:i/>
          <w:iCs w:val="0"/>
          <w:sz w:val="20"/>
          <w:szCs w:val="20"/>
          <w:vertAlign w:val="baseline"/>
          <w:lang w:val="en-US" w:eastAsia="zh-CN"/>
        </w:rPr>
      </w:pPr>
      <w:r>
        <w:rPr>
          <w:rFonts w:hint="eastAsia" w:ascii="Times New Roman" w:hAnsi="Times New Roman" w:cs="Times New Roman"/>
          <w:b/>
          <w:bCs w:val="0"/>
          <w:i/>
          <w:iCs w:val="0"/>
          <w:sz w:val="20"/>
          <w:szCs w:val="20"/>
          <w:lang w:val="en-US" w:eastAsia="zh-CN"/>
        </w:rPr>
        <w:t xml:space="preserve">For the case that </w:t>
      </w:r>
      <w:r>
        <w:rPr>
          <w:rFonts w:hint="default" w:ascii="Times New Roman" w:hAnsi="Times New Roman" w:cs="Times New Roman"/>
          <w:b/>
          <w:bCs w:val="0"/>
          <w:i/>
          <w:iCs w:val="0"/>
          <w:sz w:val="20"/>
          <w:szCs w:val="20"/>
        </w:rPr>
        <w:t xml:space="preserve">option </w:t>
      </w:r>
      <w:r>
        <w:rPr>
          <w:rFonts w:hint="eastAsia" w:ascii="Times New Roman" w:hAnsi="Times New Roman" w:cs="Times New Roman"/>
          <w:b/>
          <w:bCs w:val="0"/>
          <w:i/>
          <w:iCs w:val="0"/>
          <w:sz w:val="20"/>
          <w:szCs w:val="20"/>
          <w:lang w:val="en-US" w:eastAsia="zh-CN"/>
        </w:rPr>
        <w:t>B</w:t>
      </w:r>
      <w:r>
        <w:rPr>
          <w:rFonts w:hint="default" w:ascii="Times New Roman" w:hAnsi="Times New Roman" w:cs="Times New Roman"/>
          <w:b/>
          <w:bCs w:val="0"/>
          <w:i/>
          <w:iCs w:val="0"/>
          <w:sz w:val="20"/>
          <w:szCs w:val="20"/>
        </w:rPr>
        <w:t xml:space="preserve"> is configured in Step 3</w:t>
      </w:r>
      <w:r>
        <w:rPr>
          <w:rFonts w:hint="eastAsia" w:ascii="Times New Roman" w:hAnsi="Times New Roman" w:cs="Times New Roman"/>
          <w:b/>
          <w:bCs w:val="0"/>
          <w:i/>
          <w:iCs w:val="0"/>
          <w:sz w:val="20"/>
          <w:szCs w:val="20"/>
          <w:lang w:val="en-US" w:eastAsia="zh-CN"/>
        </w:rPr>
        <w:t xml:space="preserve"> (i.e.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 xml:space="preserve">nference configuration/parameters </w:t>
      </w:r>
      <w:r>
        <w:rPr>
          <w:rFonts w:hint="eastAsia" w:ascii="Times New Roman" w:hAnsi="Times New Roman" w:eastAsia="等线" w:cs="Times New Roman"/>
          <w:b/>
          <w:bCs w:val="0"/>
          <w:i/>
          <w:iCs w:val="0"/>
          <w:sz w:val="20"/>
          <w:szCs w:val="20"/>
          <w:vertAlign w:val="baseline"/>
          <w:lang w:val="en-US" w:eastAsia="zh-CN"/>
        </w:rPr>
        <w:t>are</w:t>
      </w:r>
      <w:r>
        <w:rPr>
          <w:rFonts w:hint="default" w:ascii="Times New Roman" w:hAnsi="Times New Roman" w:eastAsia="等线" w:cs="Times New Roman"/>
          <w:b/>
          <w:bCs w:val="0"/>
          <w:i/>
          <w:iCs w:val="0"/>
          <w:sz w:val="20"/>
          <w:szCs w:val="20"/>
          <w:vertAlign w:val="baseline"/>
          <w:lang w:val="en-US" w:eastAsia="zh-CN"/>
        </w:rPr>
        <w:t xml:space="preserve"> </w:t>
      </w:r>
      <w:r>
        <w:rPr>
          <w:rFonts w:hint="eastAsia" w:ascii="Times New Roman" w:hAnsi="Times New Roman" w:eastAsia="等线" w:cs="Times New Roman"/>
          <w:b/>
          <w:bCs w:val="0"/>
          <w:i/>
          <w:iCs w:val="0"/>
          <w:sz w:val="20"/>
          <w:szCs w:val="20"/>
          <w:vertAlign w:val="baseline"/>
          <w:lang w:val="en-US" w:eastAsia="zh-CN"/>
        </w:rPr>
        <w:t xml:space="preserve">not </w:t>
      </w:r>
      <w:r>
        <w:rPr>
          <w:rFonts w:hint="default" w:ascii="Times New Roman" w:hAnsi="Times New Roman" w:eastAsia="等线" w:cs="Times New Roman"/>
          <w:b/>
          <w:bCs w:val="0"/>
          <w:i/>
          <w:iCs w:val="0"/>
          <w:sz w:val="20"/>
          <w:szCs w:val="20"/>
          <w:vertAlign w:val="baseline"/>
          <w:lang w:val="en-US" w:eastAsia="zh-CN"/>
        </w:rPr>
        <w:t>signalled in step 3</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w:t>
      </w:r>
      <w:r>
        <w:rPr>
          <w:rFonts w:hint="eastAsia" w:ascii="Times New Roman" w:hAnsi="Times New Roman" w:eastAsia="等线" w:cs="Times New Roman"/>
          <w:b/>
          <w:bCs w:val="0"/>
          <w:i/>
          <w:iCs w:val="0"/>
          <w:sz w:val="20"/>
          <w:szCs w:val="20"/>
          <w:vertAlign w:val="baseline"/>
          <w:lang w:val="en-US" w:eastAsia="zh-CN"/>
        </w:rPr>
        <w:t>i</w:t>
      </w:r>
      <w:r>
        <w:rPr>
          <w:rFonts w:hint="default" w:ascii="Times New Roman" w:hAnsi="Times New Roman" w:eastAsia="等线" w:cs="Times New Roman"/>
          <w:b/>
          <w:bCs w:val="0"/>
          <w:i/>
          <w:iCs w:val="0"/>
          <w:sz w:val="20"/>
          <w:szCs w:val="20"/>
          <w:vertAlign w:val="baseline"/>
          <w:lang w:val="en-US" w:eastAsia="zh-CN"/>
        </w:rPr>
        <w:t>nference configuration</w:t>
      </w:r>
      <w:r>
        <w:rPr>
          <w:rFonts w:hint="eastAsia" w:ascii="Times New Roman" w:hAnsi="Times New Roman" w:eastAsia="等线" w:cs="Times New Roman"/>
          <w:b/>
          <w:bCs w:val="0"/>
          <w:i/>
          <w:iCs w:val="0"/>
          <w:sz w:val="20"/>
          <w:szCs w:val="20"/>
          <w:vertAlign w:val="baseline"/>
          <w:lang w:val="en-US" w:eastAsia="zh-CN"/>
        </w:rPr>
        <w:t>.</w:t>
      </w:r>
    </w:p>
    <w:p w14:paraId="5069C6A4">
      <w:pPr>
        <w:numPr>
          <w:ilvl w:val="0"/>
          <w:numId w:val="11"/>
        </w:numPr>
        <w:spacing w:after="180" w:line="240" w:lineRule="exact"/>
        <w:ind w:left="420" w:leftChars="0" w:hanging="420" w:firstLineChars="0"/>
        <w:rPr>
          <w:rFonts w:hint="eastAsia" w:ascii="Times New Roman" w:hAnsi="Times New Roman" w:cs="Times New Roman"/>
          <w:b/>
          <w:bCs w:val="0"/>
          <w:i/>
          <w:iCs w:val="0"/>
          <w:sz w:val="20"/>
          <w:szCs w:val="20"/>
          <w:lang w:val="en-US" w:eastAsia="zh-CN"/>
        </w:rPr>
      </w:pPr>
      <w:r>
        <w:rPr>
          <w:rFonts w:hint="eastAsia" w:ascii="Times New Roman" w:hAnsi="Times New Roman" w:eastAsia="等线" w:cs="Times New Roman"/>
          <w:b/>
          <w:bCs w:val="0"/>
          <w:i/>
          <w:iCs w:val="0"/>
          <w:sz w:val="20"/>
          <w:szCs w:val="20"/>
          <w:vertAlign w:val="baseline"/>
          <w:lang w:val="en-US" w:eastAsia="zh-CN"/>
        </w:rPr>
        <w:t>For s</w:t>
      </w:r>
      <w:r>
        <w:rPr>
          <w:rFonts w:hint="default" w:ascii="Times New Roman" w:hAnsi="Times New Roman" w:cs="Times New Roman"/>
          <w:b/>
          <w:bCs w:val="0"/>
          <w:i/>
          <w:iCs w:val="0"/>
          <w:sz w:val="20"/>
          <w:szCs w:val="20"/>
        </w:rPr>
        <w:t>emi-persistent reporting</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activation indication by </w:t>
      </w:r>
      <w:r>
        <w:rPr>
          <w:rFonts w:hint="default" w:ascii="Times New Roman" w:hAnsi="Times New Roman" w:cs="Times New Roman"/>
          <w:b/>
          <w:bCs w:val="0"/>
          <w:i/>
          <w:iCs w:val="0"/>
          <w:sz w:val="20"/>
          <w:szCs w:val="20"/>
        </w:rPr>
        <w:t>MAC CE/DCI</w:t>
      </w:r>
      <w:r>
        <w:rPr>
          <w:rFonts w:hint="eastAsia" w:ascii="Times New Roman" w:hAnsi="Times New Roman" w:cs="Times New Roman"/>
          <w:b/>
          <w:bCs w:val="0"/>
          <w:i/>
          <w:iCs w:val="0"/>
          <w:sz w:val="20"/>
          <w:szCs w:val="20"/>
          <w:lang w:val="en-US" w:eastAsia="zh-CN"/>
        </w:rPr>
        <w:t>.</w:t>
      </w:r>
    </w:p>
    <w:p w14:paraId="2F5F3046">
      <w:pPr>
        <w:numPr>
          <w:ilvl w:val="0"/>
          <w:numId w:val="11"/>
        </w:numPr>
        <w:spacing w:after="180" w:line="240" w:lineRule="exact"/>
        <w:ind w:left="420" w:leftChars="0" w:hanging="420" w:firstLineChars="0"/>
        <w:rPr>
          <w:rFonts w:hint="eastAsia" w:ascii="Times New Roman" w:hAnsi="Times New Roman"/>
          <w:sz w:val="20"/>
          <w:szCs w:val="20"/>
        </w:rPr>
      </w:pPr>
      <w:r>
        <w:rPr>
          <w:rFonts w:hint="eastAsia" w:ascii="Times New Roman" w:hAnsi="Times New Roman" w:eastAsia="等线" w:cs="Times New Roman"/>
          <w:b/>
          <w:bCs w:val="0"/>
          <w:i/>
          <w:iCs w:val="0"/>
          <w:sz w:val="20"/>
          <w:szCs w:val="20"/>
          <w:vertAlign w:val="baseline"/>
          <w:lang w:val="en-US" w:eastAsia="zh-CN"/>
        </w:rPr>
        <w:t xml:space="preserve">For </w:t>
      </w:r>
      <w:r>
        <w:rPr>
          <w:rFonts w:hint="default" w:ascii="Times New Roman" w:hAnsi="Times New Roman" w:cs="Times New Roman"/>
          <w:b/>
          <w:bCs w:val="0"/>
          <w:i/>
          <w:iCs w:val="0"/>
          <w:sz w:val="20"/>
          <w:szCs w:val="20"/>
        </w:rPr>
        <w:t>aperiodic CSI reporting</w:t>
      </w:r>
      <w:r>
        <w:rPr>
          <w:rFonts w:hint="eastAsia" w:ascii="Times New Roman" w:hAnsi="Times New Roman" w:cs="Times New Roman"/>
          <w:b/>
          <w:bCs w:val="0"/>
          <w:i/>
          <w:iCs w:val="0"/>
          <w:sz w:val="20"/>
          <w:szCs w:val="20"/>
          <w:lang w:val="en-US" w:eastAsia="zh-CN"/>
        </w:rPr>
        <w:t xml:space="preserve">, the starting point of activation delay is the point </w:t>
      </w:r>
      <w:r>
        <w:rPr>
          <w:rFonts w:hint="eastAsia" w:ascii="Times New Roman" w:hAnsi="Times New Roman" w:eastAsia="等线"/>
          <w:b/>
          <w:bCs w:val="0"/>
          <w:i/>
          <w:iCs w:val="0"/>
          <w:sz w:val="20"/>
          <w:szCs w:val="20"/>
          <w:lang w:val="en-US" w:eastAsia="zh-CN"/>
        </w:rPr>
        <w:t xml:space="preserve">receiving activation indication by </w:t>
      </w:r>
      <w:r>
        <w:rPr>
          <w:rFonts w:hint="default" w:ascii="Times New Roman" w:hAnsi="Times New Roman" w:cs="Times New Roman"/>
          <w:b/>
          <w:bCs w:val="0"/>
          <w:i/>
          <w:iCs w:val="0"/>
          <w:sz w:val="20"/>
          <w:szCs w:val="20"/>
        </w:rPr>
        <w:t>DCI</w:t>
      </w:r>
      <w:r>
        <w:rPr>
          <w:rFonts w:hint="eastAsia" w:ascii="Times New Roman" w:hAnsi="Times New Roman" w:cs="Times New Roman"/>
          <w:b/>
          <w:bCs w:val="0"/>
          <w:i/>
          <w:iCs w:val="0"/>
          <w:sz w:val="20"/>
          <w:szCs w:val="20"/>
          <w:lang w:val="en-US" w:eastAsia="zh-CN"/>
        </w:rPr>
        <w:t>.</w:t>
      </w:r>
    </w:p>
    <w:p w14:paraId="323BBB82">
      <w:pPr>
        <w:spacing w:after="180" w:line="240" w:lineRule="exact"/>
        <w:rPr>
          <w:rFonts w:hint="eastAsia" w:ascii="Times New Roman" w:hAnsi="Times New Roman" w:cs="Times New Roman"/>
          <w:b/>
          <w:bCs w:val="0"/>
          <w:i/>
          <w:iCs/>
          <w:sz w:val="20"/>
          <w:szCs w:val="20"/>
          <w:lang w:val="en-US" w:eastAsia="zh-CN"/>
        </w:rPr>
      </w:pPr>
      <w:r>
        <w:rPr>
          <w:rFonts w:hint="eastAsia" w:ascii="Times New Roman" w:hAnsi="Times New Roman" w:cs="Times New Roman"/>
          <w:b/>
          <w:bCs w:val="0"/>
          <w:i/>
          <w:iCs/>
          <w:sz w:val="20"/>
          <w:szCs w:val="20"/>
          <w:lang w:val="en-US" w:eastAsia="zh-CN"/>
        </w:rPr>
        <w:t>Proposal 4: for post-deployment, for the clarification part about whether there is any relation to GCF procedures,  the possible related certification procedures are provided as following Figure 1 and Figure 2.</w:t>
      </w:r>
    </w:p>
    <w:p w14:paraId="49753886">
      <w:pPr>
        <w:bidi w:val="0"/>
        <w:jc w:val="center"/>
        <w:rPr>
          <w:rFonts w:hint="eastAsia" w:ascii="Times New Roman" w:hAnsi="Times New Roman" w:cs="Times New Roman"/>
          <w:b w:val="0"/>
          <w:bCs/>
          <w:sz w:val="20"/>
          <w:szCs w:val="20"/>
          <w:lang w:val="en-US" w:eastAsia="zh-CN"/>
        </w:rPr>
      </w:pPr>
      <w:r>
        <w:object>
          <v:shape id="_x0000_i1028" o:spt="75" type="#_x0000_t75" style="height:208.95pt;width:291.1pt;" o:ole="t" filled="f" o:preferrelative="t" stroked="f" coordsize="21600,21600">
            <v:path/>
            <v:fill on="f" focussize="0,0"/>
            <v:stroke on="f"/>
            <v:imagedata r:id="rId7" o:title=""/>
            <o:lock v:ext="edit" aspectratio="f"/>
            <w10:wrap type="none"/>
            <w10:anchorlock/>
          </v:shape>
          <o:OLEObject Type="Embed" ProgID="Visio.Drawing.11" ShapeID="_x0000_i1028" DrawAspect="Content" ObjectID="_1468075728" r:id="rId10">
            <o:LockedField>false</o:LockedField>
          </o:OLEObject>
        </w:object>
      </w:r>
    </w:p>
    <w:p w14:paraId="1AED512D">
      <w:pPr>
        <w:spacing w:after="180" w:line="240" w:lineRule="exact"/>
        <w:rPr>
          <w:rFonts w:hint="default" w:ascii="Times New Roman" w:hAnsi="Times New Roman" w:cs="Times New Roman"/>
          <w:b w:val="0"/>
          <w:bCs/>
          <w:sz w:val="20"/>
          <w:szCs w:val="20"/>
          <w:lang w:val="en-US" w:eastAsia="zh-CN"/>
        </w:rPr>
      </w:pPr>
    </w:p>
    <w:p w14:paraId="58B001BE">
      <w:pPr>
        <w:numPr>
          <w:ilvl w:val="0"/>
          <w:numId w:val="0"/>
        </w:numPr>
        <w:spacing w:after="180" w:line="240" w:lineRule="exact"/>
        <w:ind w:leftChars="0"/>
        <w:jc w:val="center"/>
        <w:rPr>
          <w:rFonts w:hint="default" w:ascii="Times New Roman" w:hAnsi="Times New Roman" w:eastAsia="等线"/>
          <w:bCs/>
          <w:iCs/>
          <w:sz w:val="20"/>
          <w:szCs w:val="20"/>
          <w:lang w:val="en-US" w:eastAsia="zh-CN"/>
        </w:rPr>
      </w:pPr>
      <w:r>
        <w:rPr>
          <w:rFonts w:hint="eastAsia" w:ascii="Times New Roman" w:hAnsi="Times New Roman" w:cs="Times New Roman"/>
          <w:b w:val="0"/>
          <w:bCs/>
          <w:sz w:val="20"/>
          <w:szCs w:val="20"/>
          <w:lang w:val="en-US" w:eastAsia="zh-CN"/>
        </w:rPr>
        <w:t xml:space="preserve">Figure 1: certification procedures for post-deployment for the scenario that </w:t>
      </w:r>
      <w:r>
        <w:rPr>
          <w:rFonts w:hint="eastAsia" w:ascii="Times New Roman" w:hAnsi="Times New Roman" w:eastAsia="等线"/>
          <w:bCs/>
          <w:iCs/>
          <w:sz w:val="20"/>
          <w:szCs w:val="20"/>
          <w:lang w:val="en-US" w:eastAsia="zh-CN"/>
        </w:rPr>
        <w:t>t</w:t>
      </w:r>
      <w:r>
        <w:rPr>
          <w:rFonts w:hint="default" w:ascii="Times New Roman" w:hAnsi="Times New Roman" w:eastAsia="等线"/>
          <w:bCs/>
          <w:iCs/>
          <w:sz w:val="20"/>
          <w:szCs w:val="20"/>
          <w:lang w:val="en-US" w:eastAsia="zh-CN"/>
        </w:rPr>
        <w:t>he UE already supports AI functionality/features when it is certified, and the certified UE is subsequently modified with updated AI models which enable the certified UE with new functionality/features</w:t>
      </w:r>
    </w:p>
    <w:p w14:paraId="3457377F">
      <w:pPr>
        <w:spacing w:after="180" w:line="240" w:lineRule="exact"/>
        <w:rPr>
          <w:rFonts w:hint="default" w:ascii="Times New Roman" w:hAnsi="Times New Roman" w:cs="Times New Roman"/>
          <w:b w:val="0"/>
          <w:bCs/>
          <w:sz w:val="20"/>
          <w:szCs w:val="20"/>
          <w:lang w:val="en-US" w:eastAsia="zh-CN"/>
        </w:rPr>
      </w:pPr>
    </w:p>
    <w:p w14:paraId="01F51B00">
      <w:pPr>
        <w:bidi w:val="0"/>
        <w:jc w:val="center"/>
        <w:rPr>
          <w:rFonts w:hint="default" w:ascii="Times New Roman" w:hAnsi="Times New Roman" w:cs="Times New Roman"/>
          <w:b w:val="0"/>
          <w:bCs/>
          <w:sz w:val="20"/>
          <w:szCs w:val="20"/>
          <w:lang w:val="en-US" w:eastAsia="zh-CN"/>
        </w:rPr>
      </w:pPr>
      <w:r>
        <w:object>
          <v:shape id="_x0000_i1029" o:spt="75" type="#_x0000_t75" style="height:223.7pt;width:180.4pt;" o:ole="t" filled="f" o:preferrelative="t" stroked="f" coordsize="21600,21600">
            <v:path/>
            <v:fill on="f" focussize="0,0"/>
            <v:stroke on="f"/>
            <v:imagedata r:id="rId9" o:title=""/>
            <o:lock v:ext="edit" aspectratio="f"/>
            <w10:wrap type="none"/>
            <w10:anchorlock/>
          </v:shape>
          <o:OLEObject Type="Embed" ProgID="Visio.Drawing.11" ShapeID="_x0000_i1029" DrawAspect="Content" ObjectID="_1468075729" r:id="rId11">
            <o:LockedField>false</o:LockedField>
          </o:OLEObject>
        </w:object>
      </w:r>
    </w:p>
    <w:p w14:paraId="305BE45D">
      <w:pPr>
        <w:numPr>
          <w:ilvl w:val="0"/>
          <w:numId w:val="0"/>
        </w:numPr>
        <w:spacing w:after="180" w:line="240" w:lineRule="exact"/>
        <w:ind w:leftChars="0"/>
        <w:jc w:val="center"/>
        <w:rPr>
          <w:rFonts w:hint="default" w:ascii="Times New Roman" w:hAnsi="Times New Roman" w:cs="Times New Roman"/>
          <w:b w:val="0"/>
          <w:bCs/>
          <w:sz w:val="20"/>
          <w:szCs w:val="20"/>
          <w:lang w:val="en-US" w:eastAsia="zh-CN"/>
        </w:rPr>
      </w:pPr>
      <w:r>
        <w:rPr>
          <w:rFonts w:hint="eastAsia" w:ascii="Times New Roman" w:hAnsi="Times New Roman" w:cs="Times New Roman"/>
          <w:b w:val="0"/>
          <w:bCs/>
          <w:sz w:val="20"/>
          <w:szCs w:val="20"/>
          <w:lang w:val="en-US" w:eastAsia="zh-CN"/>
        </w:rPr>
        <w:t xml:space="preserve">Figure 2: certification procedures for post-deployment for the scenario that </w:t>
      </w:r>
      <w:r>
        <w:rPr>
          <w:rFonts w:hint="eastAsia" w:ascii="Times New Roman" w:hAnsi="Times New Roman" w:eastAsia="等线"/>
          <w:bCs/>
          <w:iCs/>
          <w:sz w:val="20"/>
          <w:szCs w:val="20"/>
          <w:lang w:val="en-US" w:eastAsia="zh-CN"/>
        </w:rPr>
        <w:t>t</w:t>
      </w:r>
      <w:r>
        <w:rPr>
          <w:rFonts w:hint="default" w:ascii="Times New Roman" w:hAnsi="Times New Roman" w:eastAsia="等线"/>
          <w:bCs/>
          <w:iCs/>
          <w:sz w:val="20"/>
          <w:szCs w:val="20"/>
          <w:lang w:val="en-US" w:eastAsia="zh-CN"/>
        </w:rPr>
        <w:t>he UE does not support AI functionality/features when it is certified, and the certified UE is subsequently modified with addition of AI functionality/features</w:t>
      </w:r>
    </w:p>
    <w:p w14:paraId="2E7E9A0B">
      <w:pPr>
        <w:tabs>
          <w:tab w:val="left" w:pos="1134"/>
        </w:tabs>
        <w:spacing w:after="180" w:line="240" w:lineRule="exact"/>
        <w:rPr>
          <w:rFonts w:hint="eastAsia" w:ascii="Times New Roman" w:hAnsi="Times New Roman"/>
          <w:sz w:val="20"/>
          <w:szCs w:val="20"/>
        </w:rPr>
      </w:pPr>
    </w:p>
    <w:p w14:paraId="6C9D23A3">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2274A1A">
      <w:pPr>
        <w:pStyle w:val="13"/>
        <w:framePr w:wrap="auto" w:vAnchor="margin" w:hAnchor="text" w:yAlign="inline"/>
        <w:numPr>
          <w:ilvl w:val="0"/>
          <w:numId w:val="14"/>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250308, </w:t>
      </w:r>
      <w:r>
        <w:rPr>
          <w:rFonts w:hint="eastAsia" w:ascii="Times" w:hAnsi="Times" w:eastAsia="宋体"/>
          <w:b w:val="0"/>
          <w:sz w:val="20"/>
          <w:lang w:eastAsia="zh-CN"/>
        </w:rPr>
        <w:t>Revised SID: Study on Artificial Intelligence (AI)/Machine Learning (ML) for NR air interface Phase 2</w:t>
      </w:r>
    </w:p>
    <w:p w14:paraId="55567F06">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R4-2505107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095CF299">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R4-2503953</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air interface study</w:t>
      </w:r>
      <w:r>
        <w:rPr>
          <w:rFonts w:hint="eastAsia" w:ascii="Times" w:hAnsi="Times" w:eastAsia="宋体"/>
          <w:b w:val="0"/>
          <w:sz w:val="20"/>
          <w:lang w:val="en-US" w:eastAsia="zh-CN"/>
        </w:rPr>
        <w:t>, Ericsson</w:t>
      </w:r>
    </w:p>
    <w:p w14:paraId="4B1FD71B">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78F707CA">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F914823">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3"/>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3"/>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3"/>
        <w:framePr w:wrap="auto" w:vAnchor="margin" w:hAnchor="text" w:yAlign="inline"/>
        <w:ind w:right="400"/>
        <w:jc w:val="both"/>
        <w:rPr>
          <w:rFonts w:ascii="Times" w:hAnsi="Times" w:eastAsia="宋体"/>
          <w:b w:val="0"/>
          <w:sz w:val="20"/>
          <w:lang w:eastAsia="zh-CN"/>
        </w:rPr>
      </w:pPr>
    </w:p>
    <w:p w14:paraId="32EF543F">
      <w:pPr>
        <w:pStyle w:val="13"/>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7F0B4D"/>
    <w:multiLevelType w:val="singleLevel"/>
    <w:tmpl w:val="887F0B4D"/>
    <w:lvl w:ilvl="0" w:tentative="0">
      <w:start w:val="1"/>
      <w:numFmt w:val="decimal"/>
      <w:lvlText w:val="%1."/>
      <w:lvlJc w:val="left"/>
      <w:pPr>
        <w:ind w:left="425" w:hanging="425"/>
      </w:pPr>
      <w:rPr>
        <w:rFonts w:hint="default"/>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0264BC9B"/>
    <w:multiLevelType w:val="multilevel"/>
    <w:tmpl w:val="0264BC9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30E67D4"/>
    <w:multiLevelType w:val="singleLevel"/>
    <w:tmpl w:val="330E67D4"/>
    <w:lvl w:ilvl="0" w:tentative="0">
      <w:start w:val="1"/>
      <w:numFmt w:val="decimal"/>
      <w:lvlText w:val="%1."/>
      <w:lvlJc w:val="left"/>
      <w:pPr>
        <w:ind w:left="425" w:hanging="425"/>
      </w:pPr>
      <w:rPr>
        <w:rFonts w:hint="default"/>
      </w:rPr>
    </w:lvl>
  </w:abstractNum>
  <w:abstractNum w:abstractNumId="5">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863B428"/>
    <w:multiLevelType w:val="singleLevel"/>
    <w:tmpl w:val="4863B428"/>
    <w:lvl w:ilvl="0" w:tentative="0">
      <w:start w:val="1"/>
      <w:numFmt w:val="bullet"/>
      <w:lvlText w:val=""/>
      <w:lvlJc w:val="left"/>
      <w:pPr>
        <w:tabs>
          <w:tab w:val="left" w:pos="420"/>
        </w:tabs>
        <w:ind w:left="840" w:hanging="420"/>
      </w:pPr>
      <w:rPr>
        <w:rFonts w:hint="default" w:ascii="Wingdings" w:hAnsi="Wingdings"/>
      </w:rPr>
    </w:lvl>
  </w:abstractNum>
  <w:abstractNum w:abstractNumId="7">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D3B64DD"/>
    <w:multiLevelType w:val="multilevel"/>
    <w:tmpl w:val="5D3B64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ED43156"/>
    <w:multiLevelType w:val="multilevel"/>
    <w:tmpl w:val="5ED4315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0146DC0"/>
    <w:multiLevelType w:val="multilevel"/>
    <w:tmpl w:val="70146DC0"/>
    <w:lvl w:ilvl="0" w:tentative="0">
      <w:start w:val="1"/>
      <w:numFmt w:val="bullet"/>
      <w:pStyle w:val="1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3">
    <w:nsid w:val="74AF2D2A"/>
    <w:multiLevelType w:val="multilevel"/>
    <w:tmpl w:val="74AF2D2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2"/>
  </w:num>
  <w:num w:numId="2">
    <w:abstractNumId w:val="5"/>
  </w:num>
  <w:num w:numId="3">
    <w:abstractNumId w:val="11"/>
  </w:num>
  <w:num w:numId="4">
    <w:abstractNumId w:val="3"/>
  </w:num>
  <w:num w:numId="5">
    <w:abstractNumId w:val="7"/>
  </w:num>
  <w:num w:numId="6">
    <w:abstractNumId w:val="8"/>
  </w:num>
  <w:num w:numId="7">
    <w:abstractNumId w:val="9"/>
  </w:num>
  <w:num w:numId="8">
    <w:abstractNumId w:val="0"/>
  </w:num>
  <w:num w:numId="9">
    <w:abstractNumId w:val="10"/>
  </w:num>
  <w:num w:numId="10">
    <w:abstractNumId w:val="4"/>
  </w:num>
  <w:num w:numId="11">
    <w:abstractNumId w:val="2"/>
  </w:num>
  <w:num w:numId="12">
    <w:abstractNumId w:val="6"/>
  </w:num>
  <w:num w:numId="13">
    <w:abstractNumId w:val="1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C030A6"/>
    <w:rsid w:val="03FB5394"/>
    <w:rsid w:val="08244E9F"/>
    <w:rsid w:val="08C01C06"/>
    <w:rsid w:val="0A573618"/>
    <w:rsid w:val="0A9D21CB"/>
    <w:rsid w:val="0F4C27CC"/>
    <w:rsid w:val="0FA30B04"/>
    <w:rsid w:val="0FE50EF5"/>
    <w:rsid w:val="10E51AC5"/>
    <w:rsid w:val="111346BF"/>
    <w:rsid w:val="11A46535"/>
    <w:rsid w:val="127D6382"/>
    <w:rsid w:val="149A59CD"/>
    <w:rsid w:val="14A21847"/>
    <w:rsid w:val="15685863"/>
    <w:rsid w:val="15C5068C"/>
    <w:rsid w:val="18B21538"/>
    <w:rsid w:val="1FBC219E"/>
    <w:rsid w:val="224A2F3D"/>
    <w:rsid w:val="256A53E7"/>
    <w:rsid w:val="2821768B"/>
    <w:rsid w:val="291C1880"/>
    <w:rsid w:val="296D0649"/>
    <w:rsid w:val="2B5E554F"/>
    <w:rsid w:val="2E89643F"/>
    <w:rsid w:val="2ECF7ACB"/>
    <w:rsid w:val="2F3D15B9"/>
    <w:rsid w:val="31890F43"/>
    <w:rsid w:val="34453CA2"/>
    <w:rsid w:val="35D22FBC"/>
    <w:rsid w:val="36D37903"/>
    <w:rsid w:val="39C97388"/>
    <w:rsid w:val="3BE14428"/>
    <w:rsid w:val="3BFF4ED4"/>
    <w:rsid w:val="3D080568"/>
    <w:rsid w:val="3DEF01B7"/>
    <w:rsid w:val="45842A0A"/>
    <w:rsid w:val="458E4192"/>
    <w:rsid w:val="46411F54"/>
    <w:rsid w:val="47E11C0A"/>
    <w:rsid w:val="495367D8"/>
    <w:rsid w:val="4D3D03C8"/>
    <w:rsid w:val="4EDC45F1"/>
    <w:rsid w:val="50115141"/>
    <w:rsid w:val="50327120"/>
    <w:rsid w:val="51226A29"/>
    <w:rsid w:val="52BA32C7"/>
    <w:rsid w:val="52C60904"/>
    <w:rsid w:val="539058A9"/>
    <w:rsid w:val="5516017D"/>
    <w:rsid w:val="594E7379"/>
    <w:rsid w:val="6332564A"/>
    <w:rsid w:val="64BB2C01"/>
    <w:rsid w:val="681376C2"/>
    <w:rsid w:val="6AC458C1"/>
    <w:rsid w:val="6BB22213"/>
    <w:rsid w:val="6C966FB6"/>
    <w:rsid w:val="6D205895"/>
    <w:rsid w:val="6F3538B4"/>
    <w:rsid w:val="6F7442E7"/>
    <w:rsid w:val="6F984846"/>
    <w:rsid w:val="705A36F0"/>
    <w:rsid w:val="715440AF"/>
    <w:rsid w:val="74AE053B"/>
    <w:rsid w:val="753E3654"/>
    <w:rsid w:val="75886832"/>
    <w:rsid w:val="768B4F64"/>
    <w:rsid w:val="7882194D"/>
    <w:rsid w:val="79807A63"/>
    <w:rsid w:val="79D9262A"/>
    <w:rsid w:val="7A9D20EE"/>
    <w:rsid w:val="7B284396"/>
    <w:rsid w:val="7B7628C8"/>
    <w:rsid w:val="7C3F4164"/>
    <w:rsid w:val="7FE94F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style>
  <w:style w:type="paragraph" w:styleId="6">
    <w:name w:val="Date"/>
    <w:basedOn w:val="1"/>
    <w:next w:val="1"/>
    <w:unhideWhenUsed/>
    <w:qFormat/>
    <w:uiPriority w:val="99"/>
    <w:pPr>
      <w:ind w:left="100" w:leftChars="2500"/>
    </w:pPr>
  </w:style>
  <w:style w:type="paragraph" w:styleId="7">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5"/>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Agreement"/>
    <w:basedOn w:val="1"/>
    <w:next w:val="15"/>
    <w:qFormat/>
    <w:uiPriority w:val="99"/>
    <w:pPr>
      <w:numPr>
        <w:ilvl w:val="0"/>
        <w:numId w:val="3"/>
      </w:numPr>
      <w:spacing w:before="60"/>
    </w:pPr>
    <w:rPr>
      <w:b/>
    </w:rPr>
  </w:style>
  <w:style w:type="paragraph" w:customStyle="1" w:styleId="15">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2.bin"/><Relationship Id="rId7" Type="http://schemas.openxmlformats.org/officeDocument/2006/relationships/image" Target="media/image2.emf"/><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package" Target="embeddings/Microsoft_Visio___1.vsdx"/><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3</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2025-05-09T08:30:50Z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